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525"/>
        <w:gridCol w:w="920"/>
        <w:gridCol w:w="560"/>
        <w:gridCol w:w="3879"/>
      </w:tblGrid>
      <w:tr>
        <w:trPr>
          <w:trHeight w:val="348" w:hRule="atLeast"/>
        </w:trPr>
        <w:tc>
          <w:tcPr>
            <w:tcW w:w="14884" w:type="dxa"/>
            <w:gridSpan w:val="4"/>
            <w:tcBorders/>
            <w:shd w:color="auto" w:fill="auto" w:val="clear"/>
          </w:tcPr>
          <w:p>
            <w:pPr>
              <w:pStyle w:val="2"/>
              <w:tabs>
                <w:tab w:val="clear" w:pos="708"/>
                <w:tab w:val="left" w:pos="1470" w:leader="none"/>
                <w:tab w:val="center" w:pos="7442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color w:val="auto"/>
                <w:sz w:val="28"/>
              </w:rPr>
            </w:pPr>
            <w:r>
              <w:rPr>
                <w:rFonts w:eastAsia="Calibri" w:ascii="Times New Roman" w:hAnsi="Times New Roman"/>
                <w:bCs w:val="false"/>
                <w:color w:val="auto"/>
                <w:sz w:val="28"/>
                <w:szCs w:val="22"/>
              </w:rPr>
              <w:t>Заявка на проведение работ (оказание услуг) по поверке и/ или калибровке СИ</w:t>
            </w:r>
          </w:p>
        </w:tc>
      </w:tr>
      <w:tr>
        <w:trPr>
          <w:trHeight w:val="331" w:hRule="atLeast"/>
        </w:trPr>
        <w:tc>
          <w:tcPr>
            <w:tcW w:w="10445" w:type="dxa"/>
            <w:gridSpan w:val="2"/>
            <w:tcBorders/>
            <w:shd w:color="auto" w:fill="auto" w:val="clear"/>
          </w:tcPr>
          <w:p>
            <w:pPr>
              <w:pStyle w:val="Normal"/>
              <w:rPr>
                <w:sz w:val="28"/>
              </w:rPr>
            </w:pPr>
            <w:r>
              <w:rPr/>
              <w:t>Исх. №________от_____</w:t>
            </w:r>
          </w:p>
        </w:tc>
        <w:tc>
          <w:tcPr>
            <w:tcW w:w="4439" w:type="dxa"/>
            <w:gridSpan w:val="2"/>
            <w:tcBorders/>
            <w:shd w:color="auto" w:fill="auto" w:val="clear"/>
          </w:tcPr>
          <w:p>
            <w:pPr>
              <w:pStyle w:val="Normal"/>
              <w:ind w:hanging="107"/>
              <w:jc w:val="right"/>
              <w:rPr/>
            </w:pPr>
            <w:r>
              <w:rPr/>
              <w:t>В ФГУП «ВНИИМ им. Д.И. Менделеева»</w:t>
            </w:r>
          </w:p>
        </w:tc>
      </w:tr>
      <w:tr>
        <w:trPr>
          <w:trHeight w:val="331" w:hRule="atLeast"/>
        </w:trPr>
        <w:tc>
          <w:tcPr>
            <w:tcW w:w="10445" w:type="dxa"/>
            <w:gridSpan w:val="2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0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от</w:t>
            </w:r>
          </w:p>
        </w:tc>
        <w:tc>
          <w:tcPr>
            <w:tcW w:w="3879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29"/>
              <w:rPr/>
            </w:pPr>
            <w:r>
              <w:rPr/>
            </w:r>
          </w:p>
        </w:tc>
      </w:tr>
      <w:tr>
        <w:trPr>
          <w:trHeight w:val="308" w:hRule="atLeast"/>
        </w:trPr>
        <w:tc>
          <w:tcPr>
            <w:tcW w:w="9525" w:type="dxa"/>
            <w:tcBorders/>
            <w:shd w:color="auto" w:fill="auto" w:val="clear"/>
          </w:tcPr>
          <w:p>
            <w:pPr>
              <w:pStyle w:val="Normal"/>
              <w:spacing w:before="240" w:after="0"/>
              <w:rPr>
                <w:b/>
                <w:b/>
              </w:rPr>
            </w:pPr>
            <w:r>
              <w:rPr>
                <w:b/>
              </w:rPr>
              <w:t>Адрес места проведения работ по поверке/калибровке (в случае выездной поверки):</w:t>
            </w:r>
          </w:p>
        </w:tc>
        <w:tc>
          <w:tcPr>
            <w:tcW w:w="535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jc w:val="both"/>
        <w:rPr>
          <w:sz w:val="20"/>
          <w:szCs w:val="18"/>
        </w:rPr>
      </w:pPr>
      <w:r>
        <w:rPr>
          <w:sz w:val="20"/>
          <w:szCs w:val="18"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  <w:t>Прошу провести поверку и/или калибровку следующих средств измерений:</w:t>
      </w:r>
    </w:p>
    <w:p>
      <w:pPr>
        <w:pStyle w:val="Normal"/>
        <w:rPr>
          <w:sz w:val="22"/>
          <w:szCs w:val="20"/>
        </w:rPr>
      </w:pPr>
      <w:r>
        <w:rPr>
          <w:sz w:val="22"/>
          <w:szCs w:val="20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31"/>
        <w:gridCol w:w="1664"/>
        <w:gridCol w:w="1248"/>
        <w:gridCol w:w="1364"/>
        <w:gridCol w:w="1019"/>
        <w:gridCol w:w="1660"/>
        <w:gridCol w:w="1099"/>
        <w:gridCol w:w="688"/>
        <w:gridCol w:w="415"/>
        <w:gridCol w:w="414"/>
        <w:gridCol w:w="414"/>
        <w:gridCol w:w="692"/>
        <w:gridCol w:w="687"/>
        <w:gridCol w:w="691"/>
        <w:gridCol w:w="414"/>
        <w:gridCol w:w="652"/>
        <w:gridCol w:w="342"/>
        <w:gridCol w:w="676"/>
        <w:gridCol w:w="413"/>
      </w:tblGrid>
      <w:tr>
        <w:trPr>
          <w:trHeight w:val="2759" w:hRule="atLeast"/>
          <w:cantSplit w:val="true"/>
        </w:trPr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  <w:t>№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  <w:t>Наименование СИ, тип, модификация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  <w:t>Рег. номер в ФИФ по ОЕИ</w:t>
            </w:r>
            <w:r>
              <w:rPr>
                <w:b/>
                <w:spacing w:val="-6"/>
                <w:vertAlign w:val="superscript"/>
              </w:rPr>
              <w:t>1)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  <w:t>Заводской/</w:t>
            </w:r>
          </w:p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  <w:t>инвентарный номер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pacing w:val="-6"/>
                <w:sz w:val="22"/>
                <w:szCs w:val="20"/>
                <w:highlight w:val="yellow"/>
              </w:rPr>
            </w:pPr>
            <w:r>
              <w:rPr>
                <w:spacing w:val="-6"/>
                <w:sz w:val="22"/>
                <w:szCs w:val="20"/>
              </w:rPr>
              <w:t>Метрологические характеристики (при необходимости)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  <w:t>Объем поверки</w:t>
            </w:r>
            <w:r>
              <w:rPr>
                <w:b/>
                <w:vertAlign w:val="superscript"/>
              </w:rPr>
              <w:t>2)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  <w:t>Год выпуска СИ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  <w:t>СИ применяемое в качестве эталона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  <w:t>Поверка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  <w:t>Вид поверки</w:t>
            </w:r>
            <w:r>
              <w:rPr>
                <w:b/>
                <w:vertAlign w:val="superscript"/>
              </w:rPr>
              <w:t>3)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  <w:t>Калибровка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  <w:t>Выездная поверка /калибровка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  <w:t>Поверка по результатам калибровки</w:t>
            </w:r>
            <w:r>
              <w:rPr>
                <w:b/>
                <w:vertAlign w:val="superscript"/>
              </w:rPr>
              <w:t>4)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  <w:t>Оформить свидетельство о поверке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  <w:t>Выдать протокол поверки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14"/>
                <w:sz w:val="22"/>
                <w:szCs w:val="20"/>
              </w:rPr>
              <w:t xml:space="preserve">Оформить сертификат калибровки </w:t>
            </w:r>
            <w:r>
              <w:rPr>
                <w:b/>
                <w:vertAlign w:val="superscript"/>
              </w:rPr>
              <w:t>5)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spacing w:val="-14"/>
                <w:sz w:val="22"/>
                <w:szCs w:val="20"/>
              </w:rPr>
            </w:pPr>
            <w:r>
              <w:rPr>
                <w:spacing w:val="-14"/>
                <w:sz w:val="22"/>
                <w:szCs w:val="20"/>
              </w:rPr>
              <w:t>Выдать протокол калибровки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spacing w:val="-14"/>
                <w:sz w:val="22"/>
                <w:szCs w:val="20"/>
              </w:rPr>
            </w:pPr>
            <w:r>
              <w:rPr>
                <w:spacing w:val="-14"/>
                <w:sz w:val="22"/>
                <w:szCs w:val="20"/>
              </w:rPr>
              <w:t>Срок предоставления СИ (месяц, год)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ind w:left="113" w:right="113" w:hanging="0"/>
              <w:jc w:val="center"/>
              <w:rPr>
                <w:spacing w:val="-14"/>
                <w:sz w:val="22"/>
                <w:szCs w:val="20"/>
              </w:rPr>
            </w:pPr>
            <w:r>
              <w:rPr>
                <w:spacing w:val="-14"/>
                <w:sz w:val="22"/>
                <w:szCs w:val="20"/>
              </w:rPr>
              <w:t>Срочность выполнения</w:t>
            </w:r>
          </w:p>
        </w:tc>
      </w:tr>
      <w:tr>
        <w:trPr/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0" w:hanging="0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</w:tr>
      <w:tr>
        <w:trPr/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0" w:hanging="0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</w:tr>
      <w:tr>
        <w:trPr/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ind w:left="0" w:hanging="0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pacing w:val="-6"/>
                <w:sz w:val="22"/>
                <w:szCs w:val="20"/>
              </w:rPr>
            </w:pPr>
            <w:r>
              <w:rPr>
                <w:spacing w:val="-6"/>
                <w:sz w:val="22"/>
                <w:szCs w:val="20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MS Gothic" w:hAnsi="MS Gothic" w:eastAsia="MS Gothic"/>
                <w:spacing w:val="-6"/>
              </w:rPr>
            </w:pPr>
            <w:r>
              <w:rPr>
                <w:rFonts w:eastAsia="MS Gothic" w:ascii="MS Gothic" w:hAnsi="MS Gothic"/>
                <w:spacing w:val="-6"/>
              </w:rPr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MS Gothic" w:ascii="MS Gothic" w:hAnsi="MS Gothic"/>
                <w:spacing w:val="-6"/>
              </w:rPr>
              <w:t>☐</w:t>
            </w:r>
          </w:p>
        </w:tc>
      </w:tr>
      <w:tr>
        <w:trPr/>
        <w:tc>
          <w:tcPr>
            <w:tcW w:w="148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vertAlign w:val="superscript"/>
              </w:rPr>
              <w:t>1)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при повторной поверке СИ, применяемого в качестве эталона необходимо указывать его регистрационный номер из перечня СИ, применяемых в качестве эталонов.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b/>
                <w:vertAlign w:val="superscript"/>
              </w:rPr>
              <w:t>2)</w:t>
            </w:r>
            <w:r>
              <w:rPr/>
              <w:t xml:space="preserve"> </w:t>
            </w:r>
            <w:r>
              <w:rPr>
                <w:sz w:val="20"/>
                <w:szCs w:val="20"/>
              </w:rPr>
              <w:t>графа заполняется в случае поверки в сокращенном объеме.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rStyle w:val="FootnoteCharacters"/>
                <w:b/>
              </w:rPr>
              <w:t>3</w:t>
            </w:r>
            <w:r>
              <w:rPr>
                <w:b/>
                <w:vertAlign w:val="superscript"/>
              </w:rPr>
              <w:t>)</w:t>
            </w:r>
            <w:r>
              <w:rPr>
                <w:sz w:val="20"/>
                <w:szCs w:val="20"/>
              </w:rPr>
              <w:t xml:space="preserve"> периодическая – ПР; первичная – П.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rStyle w:val="FootnoteCharacters"/>
                <w:b/>
              </w:rPr>
              <w:t>4</w:t>
            </w:r>
            <w:r>
              <w:rPr>
                <w:b/>
                <w:vertAlign w:val="superscript"/>
              </w:rPr>
              <w:t>)</w:t>
            </w:r>
            <w:r>
              <w:rPr>
                <w:sz w:val="20"/>
                <w:szCs w:val="20"/>
              </w:rPr>
              <w:t xml:space="preserve"> в соответствии с Постановлением Правительства РФ от 2 апреля 2015г. № 311 «Об утверждении Положения о признании результатов калибровки при поверке средств измерений в сфере государственного регулирования обеспечения единства измерений». </w:t>
            </w:r>
          </w:p>
          <w:p>
            <w:pPr>
              <w:pStyle w:val="Normal"/>
              <w:jc w:val="both"/>
              <w:rPr>
                <w:rFonts w:ascii="MS Gothic" w:hAnsi="MS Gothic" w:eastAsia="MS Gothic"/>
                <w:spacing w:val="-6"/>
              </w:rPr>
            </w:pPr>
            <w:r>
              <w:rPr>
                <w:rStyle w:val="FootnoteCharacters"/>
                <w:b/>
              </w:rPr>
              <w:t>5</w:t>
            </w:r>
            <w:r>
              <w:rPr>
                <w:b/>
                <w:vertAlign w:val="superscript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6"/>
                <w:sz w:val="20"/>
                <w:szCs w:val="20"/>
              </w:rPr>
              <w:t>(1)</w:t>
            </w:r>
            <w:r>
              <w:rPr>
                <w:spacing w:val="-6"/>
                <w:sz w:val="20"/>
                <w:szCs w:val="20"/>
              </w:rPr>
              <w:t xml:space="preserve"> со знаком ФСА (Росаккредитация); </w:t>
            </w:r>
            <w:r>
              <w:rPr>
                <w:b/>
                <w:spacing w:val="-6"/>
                <w:sz w:val="20"/>
                <w:szCs w:val="20"/>
              </w:rPr>
              <w:t>(2)</w:t>
            </w:r>
            <w:r>
              <w:rPr>
                <w:spacing w:val="-6"/>
                <w:sz w:val="20"/>
                <w:szCs w:val="20"/>
              </w:rPr>
              <w:t xml:space="preserve"> с комбинированным знаком ILAC MRA; </w:t>
            </w:r>
            <w:r>
              <w:rPr>
                <w:b/>
                <w:spacing w:val="-6"/>
                <w:sz w:val="20"/>
                <w:szCs w:val="20"/>
              </w:rPr>
              <w:t>(3)</w:t>
            </w:r>
            <w:r>
              <w:rPr>
                <w:spacing w:val="-6"/>
                <w:sz w:val="20"/>
                <w:szCs w:val="20"/>
              </w:rPr>
              <w:t xml:space="preserve"> с логотипом CIPM MRA (если в сертификате приводятся результаты калибровки, подтверждёнными измерительными и калибровочными возможностями ВНИИМ, которые опубликованы в Приложении C к Соглашению о взаимном признании, размещенном на сайте МБМВ).</w:t>
            </w:r>
          </w:p>
        </w:tc>
      </w:tr>
    </w:tbl>
    <w:p>
      <w:pPr>
        <w:pStyle w:val="Normal"/>
        <w:jc w:val="both"/>
        <w:rPr>
          <w:i/>
          <w:i/>
          <w:sz w:val="22"/>
          <w:szCs w:val="20"/>
        </w:rPr>
      </w:pPr>
      <w:r>
        <w:rPr>
          <w:i/>
          <w:sz w:val="22"/>
          <w:szCs w:val="20"/>
        </w:rPr>
        <w:t>Заявитель подтверждает, что указанные в заявке средства измерений не входят в перечень средств измерений,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метрологии, утвержденный постановлением Правительства Российской Федерации от 20 апреля 2010 г. № 250.</w:t>
      </w:r>
    </w:p>
    <w:p>
      <w:pPr>
        <w:pStyle w:val="Normal"/>
        <w:rPr>
          <w:i/>
          <w:i/>
          <w:sz w:val="22"/>
          <w:szCs w:val="20"/>
        </w:rPr>
      </w:pPr>
      <w:r>
        <w:rPr>
          <w:i/>
        </w:rPr>
        <w:t>Реквизиты организации согласно учётной карточке предприятия прилагаю.</w:t>
      </w:r>
    </w:p>
    <w:tbl>
      <w:tblPr>
        <w:tblStyle w:val="a8"/>
        <w:tblW w:w="151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0"/>
        <w:gridCol w:w="6238"/>
        <w:gridCol w:w="1416"/>
        <w:gridCol w:w="993"/>
        <w:gridCol w:w="5353"/>
      </w:tblGrid>
      <w:tr>
        <w:trPr/>
        <w:tc>
          <w:tcPr>
            <w:tcW w:w="7338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634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/>
        <w:tc>
          <w:tcPr>
            <w:tcW w:w="7338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Должность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634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ФИО</w:t>
            </w:r>
          </w:p>
        </w:tc>
      </w:tr>
      <w:tr>
        <w:trPr/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Телефон:</w:t>
            </w:r>
          </w:p>
        </w:tc>
        <w:tc>
          <w:tcPr>
            <w:tcW w:w="6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val="en-US"/>
              </w:rPr>
              <w:t>E-mail</w:t>
            </w:r>
            <w:r>
              <w:rPr>
                <w:sz w:val="22"/>
                <w:szCs w:val="20"/>
              </w:rPr>
              <w:t>:</w:t>
            </w:r>
          </w:p>
        </w:tc>
        <w:tc>
          <w:tcPr>
            <w:tcW w:w="535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/>
      </w:r>
    </w:p>
    <w:sectPr>
      <w:headerReference w:type="default" r:id="rId2"/>
      <w:type w:val="nextPage"/>
      <w:pgSz w:orient="landscape" w:w="16838" w:h="11906"/>
      <w:pgMar w:left="1134" w:right="820" w:header="454" w:top="56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MS Gothic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eastAsia="zh-CN" w:val="ru-RU" w:bidi="ar-SA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f5282d"/>
    <w:pPr>
      <w:keepNext w:val="true"/>
      <w:keepLines/>
      <w:suppressAutoHyphens w:val="false"/>
      <w:spacing w:lineRule="auto" w:line="254" w:before="200" w:after="0"/>
      <w:outlineLvl w:val="1"/>
    </w:pPr>
    <w:rPr>
      <w:rFonts w:ascii="Calibri Light" w:hAnsi="Calibri Light" w:eastAsia="Times New Roman"/>
      <w:b/>
      <w:bCs/>
      <w:color w:val="5B9BD5"/>
      <w:sz w:val="26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13" w:customStyle="1">
    <w:name w:val="Текст выноски Знак"/>
    <w:link w:val="a9"/>
    <w:uiPriority w:val="99"/>
    <w:semiHidden/>
    <w:qFormat/>
    <w:rsid w:val="00833026"/>
    <w:rPr>
      <w:rFonts w:ascii="Segoe UI" w:hAnsi="Segoe UI" w:cs="Segoe UI"/>
      <w:sz w:val="18"/>
      <w:szCs w:val="18"/>
      <w:lang w:eastAsia="zh-CN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f5282d"/>
    <w:rPr>
      <w:rFonts w:ascii="Calibri Light" w:hAnsi="Calibri Light" w:eastAsia="Times New Roman"/>
      <w:b/>
      <w:bCs/>
      <w:color w:val="5B9BD5"/>
      <w:sz w:val="26"/>
      <w:szCs w:val="26"/>
      <w:lang w:eastAsia="en-US"/>
    </w:rPr>
  </w:style>
  <w:style w:type="character" w:styleId="Style14" w:customStyle="1">
    <w:name w:val="Текст сноски Знак"/>
    <w:basedOn w:val="DefaultParagraphFont"/>
    <w:link w:val="ab"/>
    <w:uiPriority w:val="99"/>
    <w:semiHidden/>
    <w:qFormat/>
    <w:rsid w:val="00412d2a"/>
    <w:rPr>
      <w:lang w:eastAsia="zh-CN"/>
    </w:rPr>
  </w:style>
  <w:style w:type="character" w:styleId="Style15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412d2a"/>
    <w:rPr>
      <w:vertAlign w:val="superscript"/>
    </w:rPr>
  </w:style>
  <w:style w:type="character" w:styleId="Style16" w:customStyle="1">
    <w:name w:val="Верхний колонтитул Знак"/>
    <w:basedOn w:val="DefaultParagraphFont"/>
    <w:link w:val="ae"/>
    <w:uiPriority w:val="99"/>
    <w:qFormat/>
    <w:rsid w:val="00f917b3"/>
    <w:rPr>
      <w:sz w:val="24"/>
      <w:szCs w:val="24"/>
      <w:lang w:eastAsia="zh-CN"/>
    </w:rPr>
  </w:style>
  <w:style w:type="character" w:styleId="Style17" w:customStyle="1">
    <w:name w:val="Нижний колонтитул Знак"/>
    <w:basedOn w:val="DefaultParagraphFont"/>
    <w:link w:val="af0"/>
    <w:uiPriority w:val="99"/>
    <w:qFormat/>
    <w:rsid w:val="00f917b3"/>
    <w:rPr>
      <w:sz w:val="24"/>
      <w:szCs w:val="24"/>
      <w:lang w:eastAsia="zh-C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Noto Sans Devanagari"/>
    </w:rPr>
  </w:style>
  <w:style w:type="paragraph" w:styleId="11" w:customStyle="1">
    <w:name w:val="Заголовок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12" w:customStyle="1">
    <w:name w:val="Указатель1"/>
    <w:basedOn w:val="Normal"/>
    <w:qFormat/>
    <w:pPr>
      <w:suppressLineNumbers/>
    </w:pPr>
    <w:rPr>
      <w:rFonts w:cs="Arial"/>
    </w:rPr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833026"/>
    <w:pPr/>
    <w:rPr>
      <w:rFonts w:ascii="Segoe UI" w:hAnsi="Segoe UI" w:cs="Segoe UI"/>
      <w:sz w:val="18"/>
      <w:szCs w:val="18"/>
    </w:rPr>
  </w:style>
  <w:style w:type="paragraph" w:styleId="Style25">
    <w:name w:val="Footnote Text"/>
    <w:basedOn w:val="Normal"/>
    <w:link w:val="ac"/>
    <w:uiPriority w:val="99"/>
    <w:semiHidden/>
    <w:unhideWhenUsed/>
    <w:rsid w:val="00412d2a"/>
    <w:pPr/>
    <w:rPr>
      <w:sz w:val="20"/>
      <w:szCs w:val="20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f"/>
    <w:uiPriority w:val="99"/>
    <w:unhideWhenUsed/>
    <w:rsid w:val="00f917b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f1"/>
    <w:uiPriority w:val="99"/>
    <w:unhideWhenUsed/>
    <w:rsid w:val="00f917b3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d27f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26A33-854D-43E2-9DC5-326B8B26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LibreOffice/6.4.6.2$Linux_X86_64 LibreOffice_project/40$Build-2</Application>
  <Pages>1</Pages>
  <Words>292</Words>
  <Characters>1824</Characters>
  <CharactersWithSpaces>2052</CharactersWithSpaces>
  <Paragraphs>67</Paragraphs>
  <Company>вниим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2020-10-23T08:43:00Z</dcterms:created>
  <dc:creator>Демонстрационная версия</dc:creator>
  <dc:description/>
  <dc:language>ru-RU</dc:language>
  <cp:lastModifiedBy>shepeta</cp:lastModifiedBy>
  <cp:lastPrinted>2020-11-19T09:31:00Z</cp:lastPrinted>
  <dcterms:modified xsi:type="dcterms:W3CDTF">2020-11-19T12:36:00Z</dcterms:modified>
  <cp:revision>17</cp:revision>
  <dc:subject/>
  <dc:title>БЛАНК ПИСЬМА ЗАЯВИТЕЛЯ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вниим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