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10.png" ContentType="image/png"/>
  <Override PartName="/word/media/image2.png" ContentType="image/png"/>
  <Override PartName="/word/media/image3.png" ContentType="image/png"/>
  <Override PartName="/word/media/image4.png" ContentType="image/png"/>
  <Override PartName="/word/media/image6.png" ContentType="image/png"/>
  <Override PartName="/word/media/image11.png" ContentType="image/png"/>
  <Override PartName="/word/media/image7.png" ContentType="image/png"/>
  <Override PartName="/word/media/image12.png" ContentType="image/png"/>
  <Override PartName="/word/media/image8.png" ContentType="image/png"/>
  <Override PartName="/word/media/image9.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180"/>
        <w:jc w:val="center"/>
        <w:rPr>
          <w:rFonts w:ascii="Arial" w:hAnsi="Arial" w:eastAsia="Arial" w:cs="Arial"/>
          <w:b/>
          <w:b/>
          <w:bCs/>
          <w:color w:val="000000"/>
          <w:sz w:val="24"/>
          <w:szCs w:val="24"/>
          <w:lang w:eastAsia="ru-RU" w:bidi="ru-RU"/>
        </w:rPr>
      </w:pPr>
      <w:r>
        <mc:AlternateContent>
          <mc:Choice Requires="wps">
            <w:drawing>
              <wp:anchor behindDoc="0" distT="25400" distB="34290" distL="0" distR="22860" simplePos="0" locked="0" layoutInCell="0" allowOverlap="1" relativeHeight="15" wp14:anchorId="692141CE">
                <wp:simplePos x="0" y="0"/>
                <wp:positionH relativeFrom="column">
                  <wp:posOffset>-449580</wp:posOffset>
                </wp:positionH>
                <wp:positionV relativeFrom="paragraph">
                  <wp:posOffset>-189865</wp:posOffset>
                </wp:positionV>
                <wp:extent cx="6644640" cy="3810"/>
                <wp:effectExtent l="0" t="29210" r="635" b="28575"/>
                <wp:wrapNone/>
                <wp:docPr id="1" name="Прямая соединительная линия 37"/>
                <a:graphic xmlns:a="http://schemas.openxmlformats.org/drawingml/2006/main">
                  <a:graphicData uri="http://schemas.microsoft.com/office/word/2010/wordprocessingShape">
                    <wps:wsp>
                      <wps:cNvSpPr/>
                      <wps:spPr>
                        <a:xfrm>
                          <a:off x="0" y="0"/>
                          <a:ext cx="6644520" cy="3960"/>
                        </a:xfrm>
                        <a:prstGeom prst="line">
                          <a:avLst/>
                        </a:prstGeom>
                        <a:ln w="57150">
                          <a:solidFill>
                            <a:srgbClr val="000000"/>
                          </a:solidFill>
                          <a:miter/>
                        </a:ln>
                      </wps:spPr>
                      <wps:style>
                        <a:lnRef idx="0"/>
                        <a:fillRef idx="0"/>
                        <a:effectRef idx="0"/>
                        <a:fontRef idx="minor"/>
                      </wps:style>
                      <wps:bodyPr/>
                    </wps:wsp>
                  </a:graphicData>
                </a:graphic>
              </wp:anchor>
            </w:drawing>
          </mc:Choice>
          <mc:Fallback>
            <w:pict>
              <v:line id="shape_0" from="-35.4pt,-14.95pt" to="487.75pt,-14.7pt" ID="Прямая соединительная линия 37" stroked="t" o:allowincell="f" style="position:absolute" wp14:anchorId="692141CE">
                <v:stroke color="black" weight="57240" joinstyle="miter" endcap="flat"/>
                <v:fill o:detectmouseclick="t" on="false"/>
                <w10:wrap type="none"/>
              </v:line>
            </w:pict>
          </mc:Fallback>
        </mc:AlternateContent>
      </w:r>
      <w:r>
        <w:rPr>
          <w:rFonts w:eastAsia="Arial" w:cs="Arial" w:ascii="Arial" w:hAnsi="Arial"/>
          <w:b/>
          <w:bCs/>
          <w:color w:val="000000"/>
          <w:sz w:val="24"/>
          <w:szCs w:val="24"/>
          <w:lang w:eastAsia="ru-RU" w:bidi="ru-RU"/>
        </w:rPr>
        <w:t>ФЕДЕРАЛЬНОЕ АГЕНТСТВО</w:t>
      </w:r>
    </w:p>
    <w:p>
      <w:pPr>
        <w:pStyle w:val="Normal"/>
        <w:widowControl w:val="false"/>
        <w:spacing w:lineRule="auto" w:line="240" w:before="0" w:after="940"/>
        <w:ind w:hanging="260"/>
        <w:jc w:val="center"/>
        <w:rPr>
          <w:rFonts w:ascii="Arial" w:hAnsi="Arial" w:eastAsia="Arial" w:cs="Arial"/>
          <w:b/>
          <w:b/>
          <w:bCs/>
          <w:color w:val="000000"/>
          <w:sz w:val="24"/>
          <w:szCs w:val="24"/>
          <w:lang w:eastAsia="ru-RU" w:bidi="ru-RU"/>
        </w:rPr>
      </w:pPr>
      <w:r>
        <mc:AlternateContent>
          <mc:Choice Requires="wps">
            <w:drawing>
              <wp:anchor behindDoc="0" distT="25400" distB="34290" distL="0" distR="22860" simplePos="0" locked="0" layoutInCell="0" allowOverlap="1" relativeHeight="13" wp14:anchorId="7114C66B">
                <wp:simplePos x="0" y="0"/>
                <wp:positionH relativeFrom="column">
                  <wp:posOffset>-449580</wp:posOffset>
                </wp:positionH>
                <wp:positionV relativeFrom="paragraph">
                  <wp:posOffset>368935</wp:posOffset>
                </wp:positionV>
                <wp:extent cx="6644640" cy="3810"/>
                <wp:effectExtent l="635" t="28575" r="0" b="28575"/>
                <wp:wrapNone/>
                <wp:docPr id="2" name="Прямая соединительная линия 5"/>
                <a:graphic xmlns:a="http://schemas.openxmlformats.org/drawingml/2006/main">
                  <a:graphicData uri="http://schemas.microsoft.com/office/word/2010/wordprocessingShape">
                    <wps:wsp>
                      <wps:cNvSpPr/>
                      <wps:spPr>
                        <a:xfrm>
                          <a:off x="0" y="0"/>
                          <a:ext cx="6644520" cy="3960"/>
                        </a:xfrm>
                        <a:prstGeom prst="line">
                          <a:avLst/>
                        </a:prstGeom>
                        <a:ln w="57150">
                          <a:solidFill>
                            <a:srgbClr val="000000"/>
                          </a:solidFill>
                          <a:miter/>
                        </a:ln>
                      </wps:spPr>
                      <wps:style>
                        <a:lnRef idx="0"/>
                        <a:fillRef idx="0"/>
                        <a:effectRef idx="0"/>
                        <a:fontRef idx="minor"/>
                      </wps:style>
                      <wps:bodyPr/>
                    </wps:wsp>
                  </a:graphicData>
                </a:graphic>
              </wp:anchor>
            </w:drawing>
          </mc:Choice>
          <mc:Fallback>
            <w:pict>
              <v:line id="shape_0" from="-35.4pt,29.05pt" to="487.75pt,29.3pt" ID="Прямая соединительная линия 5" stroked="t" o:allowincell="f" style="position:absolute" wp14:anchorId="7114C66B">
                <v:stroke color="black" weight="57240" joinstyle="miter" endcap="flat"/>
                <v:fill o:detectmouseclick="t" on="false"/>
                <w10:wrap type="none"/>
              </v:line>
            </w:pict>
          </mc:Fallback>
        </mc:AlternateContent>
        <w:drawing>
          <wp:anchor behindDoc="0" distT="0" distB="0" distL="0" distR="0" simplePos="0" locked="0" layoutInCell="0" allowOverlap="1" relativeHeight="16">
            <wp:simplePos x="0" y="0"/>
            <wp:positionH relativeFrom="page">
              <wp:posOffset>670560</wp:posOffset>
            </wp:positionH>
            <wp:positionV relativeFrom="paragraph">
              <wp:posOffset>583565</wp:posOffset>
            </wp:positionV>
            <wp:extent cx="1536065" cy="969010"/>
            <wp:effectExtent l="0" t="0" r="0" b="0"/>
            <wp:wrapSquare wrapText="bothSides"/>
            <wp:docPr id="3" name="Shap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pe 1" descr=""/>
                    <pic:cNvPicPr>
                      <a:picLocks noChangeAspect="1" noChangeArrowheads="1"/>
                    </pic:cNvPicPr>
                  </pic:nvPicPr>
                  <pic:blipFill>
                    <a:blip r:embed="rId2"/>
                    <a:stretch>
                      <a:fillRect/>
                    </a:stretch>
                  </pic:blipFill>
                  <pic:spPr bwMode="auto">
                    <a:xfrm>
                      <a:off x="0" y="0"/>
                      <a:ext cx="1536065" cy="969010"/>
                    </a:xfrm>
                    <a:prstGeom prst="rect">
                      <a:avLst/>
                    </a:prstGeom>
                  </pic:spPr>
                </pic:pic>
              </a:graphicData>
            </a:graphic>
          </wp:anchor>
        </w:drawing>
        <mc:AlternateContent>
          <mc:Choice Requires="wps">
            <w:drawing>
              <wp:anchor behindDoc="0" distT="0" distB="0" distL="0" distR="0" simplePos="0" locked="0" layoutInCell="0" allowOverlap="1" relativeHeight="17" wp14:anchorId="0EE49A5A">
                <wp:simplePos x="0" y="0"/>
                <wp:positionH relativeFrom="page">
                  <wp:posOffset>5802630</wp:posOffset>
                </wp:positionH>
                <wp:positionV relativeFrom="paragraph">
                  <wp:posOffset>683895</wp:posOffset>
                </wp:positionV>
                <wp:extent cx="1053465" cy="972185"/>
                <wp:effectExtent l="0" t="0" r="0" b="0"/>
                <wp:wrapSquare wrapText="bothSides"/>
                <wp:docPr id="4" name="Надпись 64"/>
                <a:graphic xmlns:a="http://schemas.openxmlformats.org/drawingml/2006/main">
                  <a:graphicData uri="http://schemas.microsoft.com/office/word/2010/wordprocessingShape">
                    <wps:wsp>
                      <wps:cNvSpPr/>
                      <wps:spPr>
                        <a:xfrm>
                          <a:off x="0" y="0"/>
                          <a:ext cx="1053360" cy="972360"/>
                        </a:xfrm>
                        <a:prstGeom prst="rect">
                          <a:avLst/>
                        </a:prstGeom>
                        <a:noFill/>
                        <a:ln w="0">
                          <a:noFill/>
                        </a:ln>
                      </wps:spPr>
                      <wps:style>
                        <a:lnRef idx="0"/>
                        <a:fillRef idx="0"/>
                        <a:effectRef idx="0"/>
                        <a:fontRef idx="minor"/>
                      </wps:style>
                      <wps:txbx>
                        <w:txbxContent>
                          <w:p>
                            <w:pPr>
                              <w:pStyle w:val="41"/>
                              <w:rPr>
                                <w:sz w:val="32"/>
                                <w:szCs w:val="32"/>
                              </w:rPr>
                            </w:pPr>
                            <w:r>
                              <w:rPr>
                                <w:color w:val="000000"/>
                                <w:sz w:val="32"/>
                                <w:szCs w:val="32"/>
                              </w:rPr>
                              <w:t>ГОСТ Р ХХХХХ— ХХХХ</w:t>
                            </w:r>
                          </w:p>
                        </w:txbxContent>
                      </wps:txbx>
                      <wps:bodyPr lIns="0" rIns="0" tIns="0" bIns="0" anchor="t">
                        <a:noAutofit/>
                      </wps:bodyPr>
                    </wps:wsp>
                  </a:graphicData>
                </a:graphic>
              </wp:anchor>
            </w:drawing>
          </mc:Choice>
          <mc:Fallback>
            <w:pict>
              <v:rect id="shape_0" ID="Надпись 64" path="m0,0l-2147483645,0l-2147483645,-2147483646l0,-2147483646xe" stroked="f" o:allowincell="f" style="position:absolute;margin-left:456.9pt;margin-top:53.85pt;width:82.9pt;height:76.5pt;mso-wrap-style:square;v-text-anchor:top;mso-position-horizontal-relative:page" wp14:anchorId="0EE49A5A">
                <v:fill o:detectmouseclick="t" on="false"/>
                <v:stroke color="#3465a4" joinstyle="round" endcap="flat"/>
                <v:textbox>
                  <w:txbxContent>
                    <w:p>
                      <w:pPr>
                        <w:pStyle w:val="41"/>
                        <w:rPr>
                          <w:sz w:val="32"/>
                          <w:szCs w:val="32"/>
                        </w:rPr>
                      </w:pPr>
                      <w:r>
                        <w:rPr>
                          <w:color w:val="000000"/>
                          <w:sz w:val="32"/>
                          <w:szCs w:val="32"/>
                        </w:rPr>
                        <w:t>ГОСТ Р ХХХХХ— ХХХХ</w:t>
                      </w:r>
                    </w:p>
                  </w:txbxContent>
                </v:textbox>
                <w10:wrap type="square"/>
              </v:rect>
            </w:pict>
          </mc:Fallback>
        </mc:AlternateContent>
      </w:r>
      <w:r>
        <w:rPr>
          <w:rFonts w:eastAsia="Arial" w:cs="Arial" w:ascii="Arial" w:hAnsi="Arial"/>
          <w:b/>
          <w:bCs/>
          <w:color w:val="000000"/>
          <w:sz w:val="24"/>
          <w:szCs w:val="24"/>
          <w:lang w:eastAsia="ru-RU" w:bidi="ru-RU"/>
        </w:rPr>
        <w:t>ПО ТЕХНИЧЕСКОМУ РЕГУЛИРОВАНИЮ И МЕТРОЛОГИИ</w:t>
      </w:r>
    </w:p>
    <w:p>
      <w:pPr>
        <w:pStyle w:val="Normal"/>
        <w:widowControl w:val="false"/>
        <w:spacing w:lineRule="auto" w:line="240" w:before="0" w:after="600"/>
        <w:jc w:val="center"/>
        <w:rPr>
          <w:rFonts w:ascii="Arial" w:hAnsi="Arial" w:eastAsia="Arial" w:cs="Arial"/>
          <w:b/>
          <w:b/>
          <w:bCs/>
          <w:color w:val="000000"/>
          <w:spacing w:val="30"/>
          <w:sz w:val="24"/>
          <w:szCs w:val="24"/>
          <w:lang w:eastAsia="ru-RU" w:bidi="ru-RU"/>
        </w:rPr>
      </w:pPr>
      <w:r>
        <mc:AlternateContent>
          <mc:Choice Requires="wps">
            <w:drawing>
              <wp:anchor behindDoc="0" distT="12700" distB="8890" distL="0" distR="10160" simplePos="0" locked="0" layoutInCell="0" allowOverlap="1" relativeHeight="14" wp14:anchorId="1E38A823">
                <wp:simplePos x="0" y="0"/>
                <wp:positionH relativeFrom="margin">
                  <wp:align>center</wp:align>
                </wp:positionH>
                <wp:positionV relativeFrom="paragraph">
                  <wp:posOffset>1150620</wp:posOffset>
                </wp:positionV>
                <wp:extent cx="6644640" cy="3810"/>
                <wp:effectExtent l="635" t="10160" r="0" b="9525"/>
                <wp:wrapNone/>
                <wp:docPr id="6" name="Прямая соединительная линия 4"/>
                <a:graphic xmlns:a="http://schemas.openxmlformats.org/drawingml/2006/main">
                  <a:graphicData uri="http://schemas.microsoft.com/office/word/2010/wordprocessingShape">
                    <wps:wsp>
                      <wps:cNvSpPr/>
                      <wps:spPr>
                        <a:xfrm>
                          <a:off x="0" y="0"/>
                          <a:ext cx="6644520" cy="3960"/>
                        </a:xfrm>
                        <a:prstGeom prst="line">
                          <a:avLst/>
                        </a:prstGeom>
                        <a:ln w="19050">
                          <a:solidFill>
                            <a:srgbClr val="000000"/>
                          </a:solidFill>
                          <a:miter/>
                        </a:ln>
                      </wps:spPr>
                      <wps:style>
                        <a:lnRef idx="0"/>
                        <a:fillRef idx="0"/>
                        <a:effectRef idx="0"/>
                        <a:fontRef idx="minor"/>
                      </wps:style>
                      <wps:bodyPr/>
                    </wps:wsp>
                  </a:graphicData>
                </a:graphic>
              </wp:anchor>
            </w:drawing>
          </mc:Choice>
          <mc:Fallback>
            <w:pict>
              <v:line id="shape_0" from="-27.75pt,90.6pt" to="495.4pt,90.85pt" ID="Прямая соединительная линия 4" stroked="t" o:allowincell="f" style="position:absolute;mso-position-horizontal:center;mso-position-horizontal-relative:margin" wp14:anchorId="1E38A823">
                <v:stroke color="black" weight="19080" joinstyle="miter" endcap="flat"/>
                <v:fill o:detectmouseclick="t" on="false"/>
                <w10:wrap type="none"/>
              </v:line>
            </w:pict>
          </mc:Fallback>
        </mc:AlternateContent>
      </w:r>
      <w:r>
        <w:rPr>
          <w:rFonts w:eastAsia="Arial" w:cs="Arial" w:ascii="Arial" w:hAnsi="Arial"/>
          <w:b/>
          <w:bCs/>
          <w:color w:val="000000"/>
          <w:spacing w:val="30"/>
          <w:sz w:val="24"/>
          <w:szCs w:val="24"/>
          <w:lang w:eastAsia="ru-RU" w:bidi="ru-RU"/>
        </w:rPr>
        <w:t>НАЦИОНАЛЬНЫЙ</w:t>
        <w:br/>
        <w:t>СТАНДАРТ</w:t>
        <w:br/>
        <w:t>РОССИЙСКОЙ</w:t>
        <w:br/>
        <w:t>ФЕДЕРАЦИИ</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b/>
          <w:b/>
          <w:bCs/>
          <w:sz w:val="32"/>
          <w:szCs w:val="32"/>
        </w:rPr>
      </w:pPr>
      <w:r>
        <w:rPr>
          <w:rFonts w:cs="Arial" w:ascii="Arial" w:hAnsi="Arial"/>
          <w:b/>
          <w:bCs/>
          <w:sz w:val="32"/>
          <w:szCs w:val="32"/>
        </w:rPr>
        <w:t xml:space="preserve">Государственная система обеспечения                              единства измерений </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jc w:val="center"/>
        <w:rPr>
          <w:rFonts w:ascii="Arial" w:hAnsi="Arial" w:cs="Arial"/>
          <w:b/>
          <w:b/>
          <w:bCs/>
          <w:caps/>
          <w:sz w:val="32"/>
          <w:szCs w:val="32"/>
        </w:rPr>
      </w:pPr>
      <w:bookmarkStart w:id="0" w:name="_Hlk167271497"/>
      <w:r>
        <w:rPr>
          <w:rFonts w:cs="Arial" w:ascii="Arial" w:hAnsi="Arial"/>
          <w:b/>
          <w:bCs/>
          <w:caps/>
          <w:sz w:val="36"/>
          <w:szCs w:val="36"/>
        </w:rPr>
        <w:t>Анализаторы спектра оптического для волоконно-оптических систем передачи</w:t>
      </w:r>
      <w:r>
        <w:rPr>
          <w:rFonts w:cs="Arial" w:ascii="Arial" w:hAnsi="Arial"/>
          <w:b/>
          <w:bCs/>
          <w:caps/>
          <w:sz w:val="32"/>
          <w:szCs w:val="32"/>
        </w:rPr>
        <w:t xml:space="preserve"> </w:t>
      </w:r>
      <w:bookmarkEnd w:id="0"/>
    </w:p>
    <w:p>
      <w:pPr>
        <w:pStyle w:val="Normal"/>
        <w:spacing w:lineRule="auto" w:line="240"/>
        <w:jc w:val="center"/>
        <w:rPr>
          <w:rFonts w:ascii="Arial" w:hAnsi="Arial" w:cs="Arial"/>
          <w:sz w:val="24"/>
          <w:szCs w:val="24"/>
        </w:rPr>
      </w:pPr>
      <w:r>
        <w:rPr>
          <w:rFonts w:cs="Arial" w:ascii="Arial" w:hAnsi="Arial"/>
          <w:b/>
          <w:bCs/>
          <w:sz w:val="32"/>
          <w:szCs w:val="32"/>
        </w:rPr>
        <w:t>Методика поверки</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sectPr>
          <w:type w:val="nextPage"/>
          <w:pgSz w:w="11906" w:h="16838"/>
          <w:pgMar w:left="1701" w:right="850" w:gutter="0" w:header="0" w:top="1134" w:footer="0" w:bottom="1134"/>
          <w:pgNumType w:fmt="decimal"/>
          <w:formProt w:val="false"/>
          <w:textDirection w:val="lrTb"/>
          <w:docGrid w:type="default" w:linePitch="600" w:charSpace="36864"/>
        </w:sectPr>
      </w:pPr>
    </w:p>
    <w:p>
      <w:pPr>
        <w:pStyle w:val="Normal"/>
        <w:spacing w:lineRule="auto" w:line="240"/>
        <w:ind w:firstLine="709"/>
        <w:mirrorIndents/>
        <w:jc w:val="center"/>
        <w:rPr>
          <w:rFonts w:ascii="Arial" w:hAnsi="Arial" w:cs="Arial"/>
          <w:b/>
          <w:b/>
          <w:bCs/>
          <w:caps/>
          <w:sz w:val="24"/>
          <w:szCs w:val="24"/>
        </w:rPr>
      </w:pPr>
      <w:r>
        <w:rPr>
          <w:rFonts w:cs="Arial" w:ascii="Arial" w:hAnsi="Arial"/>
          <w:b/>
          <w:bCs/>
          <w:caps/>
          <w:sz w:val="24"/>
          <w:szCs w:val="24"/>
        </w:rPr>
        <w:t>Предисловие</w:t>
      </w:r>
    </w:p>
    <w:p>
      <w:pPr>
        <w:pStyle w:val="Normal"/>
        <w:spacing w:lineRule="auto" w:line="240"/>
        <w:ind w:firstLine="709"/>
        <w:mirrorIndents/>
        <w:jc w:val="both"/>
        <w:rPr>
          <w:rFonts w:ascii="Arial" w:hAnsi="Arial" w:cs="Arial"/>
          <w:sz w:val="24"/>
          <w:szCs w:val="24"/>
        </w:rPr>
      </w:pPr>
      <w:r>
        <w:rPr>
          <w:rFonts w:cs="Arial" w:ascii="Arial" w:hAnsi="Arial"/>
          <w:sz w:val="24"/>
          <w:szCs w:val="24"/>
        </w:rPr>
        <w:t>1.</w:t>
        <w:tab/>
        <w:t>РАЗРАБОТАН Обществом с ограниченной ответственностью «Научный подход» (ООО «Научный подход»)</w:t>
      </w:r>
    </w:p>
    <w:p>
      <w:pPr>
        <w:pStyle w:val="Normal"/>
        <w:spacing w:lineRule="auto" w:line="240"/>
        <w:ind w:firstLine="709"/>
        <w:mirrorIndents/>
        <w:jc w:val="both"/>
        <w:rPr>
          <w:rFonts w:ascii="Arial" w:hAnsi="Arial" w:cs="Arial"/>
          <w:sz w:val="24"/>
          <w:szCs w:val="24"/>
        </w:rPr>
      </w:pPr>
      <w:r>
        <w:rPr>
          <w:rFonts w:cs="Arial" w:ascii="Arial" w:hAnsi="Arial"/>
          <w:sz w:val="24"/>
          <w:szCs w:val="24"/>
        </w:rPr>
        <w:t>2.</w:t>
        <w:tab/>
        <w:t>ВНЕСЕН Техническим комитетом по стандартизации ТК-206 «Эталоны и поверочные схемы»</w:t>
      </w:r>
    </w:p>
    <w:p>
      <w:pPr>
        <w:pStyle w:val="Normal"/>
        <w:spacing w:lineRule="auto" w:line="240"/>
        <w:ind w:firstLine="709"/>
        <w:mirrorIndents/>
        <w:jc w:val="both"/>
        <w:rPr>
          <w:rFonts w:ascii="Arial" w:hAnsi="Arial" w:cs="Arial"/>
          <w:sz w:val="24"/>
          <w:szCs w:val="24"/>
        </w:rPr>
      </w:pPr>
      <w:r>
        <w:rPr>
          <w:rFonts w:cs="Arial" w:ascii="Arial" w:hAnsi="Arial"/>
          <w:sz w:val="24"/>
          <w:szCs w:val="24"/>
        </w:rPr>
        <w:t>3.</w:t>
        <w:tab/>
      </w:r>
      <w:r>
        <w:rPr>
          <w:rFonts w:cs="Arial" w:ascii="Arial" w:hAnsi="Arial"/>
          <w:caps/>
          <w:sz w:val="24"/>
          <w:szCs w:val="24"/>
        </w:rPr>
        <w:t>утвержден и введен в действие</w:t>
      </w:r>
      <w:r>
        <w:rPr>
          <w:rFonts w:cs="Arial" w:ascii="Arial" w:hAnsi="Arial"/>
          <w:sz w:val="24"/>
          <w:szCs w:val="24"/>
        </w:rPr>
        <w:t xml:space="preserve"> Приказом Федерального агентства по техническому регулированию и метрологии от ХХ ХХХХ 202Х г. № ХХХ-ст</w:t>
      </w:r>
    </w:p>
    <w:p>
      <w:pPr>
        <w:pStyle w:val="Normal"/>
        <w:spacing w:lineRule="auto" w:line="240"/>
        <w:ind w:firstLine="709"/>
        <w:mirrorIndents/>
        <w:jc w:val="both"/>
        <w:rPr>
          <w:rFonts w:ascii="Arial" w:hAnsi="Arial" w:cs="Arial"/>
          <w:sz w:val="24"/>
          <w:szCs w:val="24"/>
        </w:rPr>
      </w:pPr>
      <w:r>
        <w:rPr>
          <w:rFonts w:cs="Arial" w:ascii="Arial" w:hAnsi="Arial"/>
          <w:sz w:val="24"/>
          <w:szCs w:val="24"/>
        </w:rPr>
        <w:t>4.</w:t>
        <w:tab/>
        <w:t>ВВЕДЕН ВПЕРВЫЕ</w:t>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right="426"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13"/>
        <w:spacing w:lineRule="auto" w:line="240"/>
        <w:ind w:firstLine="709"/>
        <w:mirrorIndents/>
        <w:jc w:val="both"/>
        <w:rPr/>
      </w:pPr>
      <w:r>
        <w:rPr>
          <w:color w:val="000000"/>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w:t>
        <w:softHyphen/>
        <w:t>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w:t>
        <w:softHyphen/>
        <w:t>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3">
        <w:r>
          <w:rPr>
            <w:color w:val="000000"/>
          </w:rPr>
          <w:t>www.rst.gov.ru</w:t>
        </w:r>
      </w:hyperlink>
      <w:r>
        <w:rPr>
          <w:color w:val="000000"/>
        </w:rPr>
        <w:t>)</w:t>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mirrorIndents/>
        <w:jc w:val="both"/>
        <w:rPr>
          <w:rFonts w:ascii="Arial" w:hAnsi="Arial" w:cs="Arial"/>
          <w:sz w:val="24"/>
          <w:szCs w:val="24"/>
        </w:rPr>
      </w:pPr>
      <w:r>
        <w:rPr>
          <w:rFonts w:cs="Arial" w:ascii="Arial" w:hAnsi="Arial"/>
          <w:sz w:val="24"/>
          <w:szCs w:val="24"/>
        </w:rPr>
      </w:r>
    </w:p>
    <w:p>
      <w:pPr>
        <w:pStyle w:val="Normal"/>
        <w:spacing w:lineRule="auto" w:line="240"/>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right"/>
        <w:rPr>
          <w:rFonts w:ascii="Arial" w:hAnsi="Arial" w:cs="Arial"/>
          <w:sz w:val="24"/>
          <w:szCs w:val="24"/>
        </w:rPr>
      </w:pPr>
      <w:r>
        <w:rPr>
          <w:rFonts w:cs="Arial" w:ascii="Arial" w:hAnsi="Arial"/>
          <w:sz w:val="24"/>
          <w:szCs w:val="24"/>
        </w:rPr>
      </w:r>
    </w:p>
    <w:p>
      <w:pPr>
        <w:pStyle w:val="Normal"/>
        <w:widowControl w:val="false"/>
        <w:spacing w:lineRule="auto" w:line="240" w:before="0" w:after="220"/>
        <w:ind w:firstLine="709"/>
        <w:mirrorIndents/>
        <w:jc w:val="right"/>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 Оформление. ФГБУ «Институт стандартизации», 20ХХ</w:t>
      </w:r>
    </w:p>
    <w:p>
      <w:pPr>
        <w:pStyle w:val="Normal"/>
        <w:widowControl w:val="false"/>
        <w:spacing w:lineRule="auto" w:line="240" w:before="0" w:after="60"/>
        <w:ind w:firstLine="709"/>
        <w:mirrorIndents/>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Настоящий стандарт не может быть полностью или частично воспроизведен, тиражирован и рас</w:t>
        <w:softHyphen/>
        <w:t>пространен в качестве официального издания без разрешения Федерального агентства по техническо</w:t>
        <w:softHyphen/>
        <w:t>му регулированию и метрологии.</w:t>
      </w:r>
    </w:p>
    <w:p>
      <w:pPr>
        <w:sectPr>
          <w:type w:val="continuous"/>
          <w:pgSz w:w="11906" w:h="16838"/>
          <w:pgMar w:left="1701" w:right="850" w:gutter="0" w:header="0" w:top="1134" w:footer="0" w:bottom="1134"/>
          <w:formProt w:val="false"/>
          <w:textDirection w:val="lrTb"/>
          <w:docGrid w:type="default" w:linePitch="600" w:charSpace="36864"/>
        </w:sectPr>
      </w:pPr>
    </w:p>
    <w:p>
      <w:pPr>
        <w:pStyle w:val="Normal"/>
        <w:tabs>
          <w:tab w:val="clear" w:pos="708"/>
          <w:tab w:val="left" w:pos="8931" w:leader="none"/>
        </w:tabs>
        <w:spacing w:lineRule="auto" w:line="240" w:before="29" w:after="0"/>
        <w:ind w:firstLine="709"/>
        <w:mirrorIndents/>
        <w:jc w:val="both"/>
        <w:rPr>
          <w:rFonts w:ascii="Arial" w:hAnsi="Arial" w:eastAsia="Arial" w:cs="Arial"/>
          <w:b/>
          <w:b/>
          <w:bCs/>
          <w:sz w:val="24"/>
          <w:szCs w:val="24"/>
        </w:rPr>
      </w:pPr>
      <w:r>
        <w:rPr>
          <w:rFonts w:eastAsia="Arial" w:cs="Arial" w:ascii="Arial" w:hAnsi="Arial"/>
          <w:b/>
          <w:bCs/>
          <w:sz w:val="24"/>
          <w:szCs w:val="24"/>
        </w:rPr>
      </w:r>
    </w:p>
    <w:p>
      <w:pPr>
        <w:pStyle w:val="Normal"/>
        <w:tabs>
          <w:tab w:val="clear" w:pos="708"/>
          <w:tab w:val="left" w:pos="8931" w:leader="none"/>
        </w:tabs>
        <w:spacing w:lineRule="auto" w:line="240" w:before="29" w:after="0"/>
        <w:ind w:left="567" w:right="79" w:hanging="0"/>
        <w:jc w:val="center"/>
        <w:rPr>
          <w:rFonts w:ascii="Arial" w:hAnsi="Arial" w:eastAsia="Arial" w:cs="Arial"/>
          <w:b/>
          <w:b/>
          <w:bCs/>
          <w:sz w:val="24"/>
          <w:szCs w:val="24"/>
        </w:rPr>
      </w:pPr>
      <w:r>
        <w:rPr>
          <w:rFonts w:eastAsia="Arial" w:cs="Arial" w:ascii="Arial" w:hAnsi="Arial"/>
          <w:b/>
          <w:bCs/>
          <w:sz w:val="24"/>
          <w:szCs w:val="24"/>
        </w:rPr>
        <w:t>Содержание</w:t>
      </w:r>
    </w:p>
    <w:p>
      <w:pPr>
        <w:pStyle w:val="Normal"/>
        <w:tabs>
          <w:tab w:val="clear" w:pos="708"/>
          <w:tab w:val="left" w:pos="8931" w:leader="none"/>
        </w:tabs>
        <w:spacing w:lineRule="auto" w:line="240" w:before="29" w:after="0"/>
        <w:ind w:left="567" w:right="79" w:hanging="0"/>
        <w:jc w:val="center"/>
        <w:rPr>
          <w:rFonts w:ascii="Arial" w:hAnsi="Arial" w:eastAsia="Arial" w:cs="Arial"/>
          <w:b/>
          <w:b/>
          <w:bCs/>
          <w:sz w:val="24"/>
          <w:szCs w:val="24"/>
        </w:rPr>
      </w:pPr>
      <w:r>
        <w:rPr>
          <w:rFonts w:eastAsia="Arial" w:cs="Arial" w:ascii="Arial" w:hAnsi="Arial"/>
          <w:b/>
          <w:bCs/>
          <w:sz w:val="24"/>
          <w:szCs w:val="24"/>
        </w:rPr>
      </w:r>
    </w:p>
    <w:p>
      <w:pPr>
        <w:pStyle w:val="ListParagraph"/>
        <w:numPr>
          <w:ilvl w:val="0"/>
          <w:numId w:val="6"/>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Область применения………………………………………………………………………………………..4</w:t>
      </w:r>
    </w:p>
    <w:p>
      <w:pPr>
        <w:pStyle w:val="ListParagraph"/>
        <w:numPr>
          <w:ilvl w:val="0"/>
          <w:numId w:val="6"/>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Нормативные ссылки………………………………………………………………………………………..4</w:t>
      </w:r>
    </w:p>
    <w:p>
      <w:pPr>
        <w:pStyle w:val="ListParagraph"/>
        <w:numPr>
          <w:ilvl w:val="0"/>
          <w:numId w:val="6"/>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Термины, определения и обозначения…………………………………………………………………..5</w:t>
      </w:r>
    </w:p>
    <w:p>
      <w:pPr>
        <w:pStyle w:val="ListParagraph"/>
        <w:numPr>
          <w:ilvl w:val="0"/>
          <w:numId w:val="6"/>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Методика поверки….…………..…………………………………………………………………………….5</w:t>
      </w:r>
    </w:p>
    <w:p>
      <w:pPr>
        <w:pStyle w:val="ListParagraph"/>
        <w:numPr>
          <w:ilvl w:val="1"/>
          <w:numId w:val="6"/>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z w:val="20"/>
          <w:szCs w:val="20"/>
        </w:rPr>
        <w:t>Операции поверки…………………………………………………………………………………5</w:t>
      </w:r>
    </w:p>
    <w:p>
      <w:pPr>
        <w:pStyle w:val="ListParagraph"/>
        <w:numPr>
          <w:ilvl w:val="1"/>
          <w:numId w:val="6"/>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z w:val="20"/>
          <w:szCs w:val="20"/>
        </w:rPr>
        <w:t>Средства поверки………………………………………………………………………………….5</w:t>
      </w:r>
    </w:p>
    <w:p>
      <w:pPr>
        <w:pStyle w:val="ListParagraph"/>
        <w:numPr>
          <w:ilvl w:val="1"/>
          <w:numId w:val="6"/>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pacing w:val="-1"/>
          <w:sz w:val="20"/>
          <w:szCs w:val="20"/>
        </w:rPr>
        <w:t>Требования к квалификации поверителей</w:t>
      </w:r>
      <w:r>
        <w:rPr>
          <w:rFonts w:eastAsia="Arial" w:cs="Arial" w:ascii="Arial" w:hAnsi="Arial"/>
          <w:sz w:val="20"/>
          <w:szCs w:val="20"/>
        </w:rPr>
        <w:t>……………………………………………….…...</w:t>
      </w:r>
      <w:r>
        <w:rPr>
          <w:rFonts w:eastAsia="Arial" w:cs="Arial" w:ascii="Arial" w:hAnsi="Arial"/>
          <w:spacing w:val="-1"/>
          <w:sz w:val="20"/>
          <w:szCs w:val="20"/>
        </w:rPr>
        <w:t>6</w:t>
      </w:r>
    </w:p>
    <w:p>
      <w:pPr>
        <w:pStyle w:val="ListParagraph"/>
        <w:numPr>
          <w:ilvl w:val="1"/>
          <w:numId w:val="6"/>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z w:val="20"/>
          <w:szCs w:val="20"/>
        </w:rPr>
        <w:t>Требования безопасности……………………………………………………………………….6</w:t>
      </w:r>
    </w:p>
    <w:p>
      <w:pPr>
        <w:pStyle w:val="ListParagraph"/>
        <w:numPr>
          <w:ilvl w:val="1"/>
          <w:numId w:val="6"/>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pacing w:val="-1"/>
          <w:sz w:val="20"/>
          <w:szCs w:val="20"/>
        </w:rPr>
        <w:t>Требования к условиям проведения поверки</w:t>
      </w:r>
      <w:r>
        <w:rPr>
          <w:rFonts w:eastAsia="Arial" w:cs="Arial" w:ascii="Arial" w:hAnsi="Arial"/>
          <w:sz w:val="20"/>
          <w:szCs w:val="20"/>
        </w:rPr>
        <w:t>…………………………………………………</w:t>
      </w:r>
      <w:r>
        <w:rPr>
          <w:rFonts w:eastAsia="Arial" w:cs="Arial" w:ascii="Arial" w:hAnsi="Arial"/>
          <w:spacing w:val="-1"/>
          <w:sz w:val="20"/>
          <w:szCs w:val="20"/>
        </w:rPr>
        <w:t>7</w:t>
      </w:r>
    </w:p>
    <w:p>
      <w:pPr>
        <w:pStyle w:val="ListParagraph"/>
        <w:numPr>
          <w:ilvl w:val="1"/>
          <w:numId w:val="6"/>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z w:val="20"/>
          <w:szCs w:val="20"/>
        </w:rPr>
        <w:t>Подготовка к поверке………………………………..……………………………………………7</w:t>
      </w:r>
    </w:p>
    <w:p>
      <w:pPr>
        <w:pStyle w:val="ListParagraph"/>
        <w:numPr>
          <w:ilvl w:val="1"/>
          <w:numId w:val="6"/>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z w:val="20"/>
          <w:szCs w:val="20"/>
        </w:rPr>
        <w:t>Проведение поверки………………………………………………………………………………7</w:t>
      </w:r>
    </w:p>
    <w:p>
      <w:pPr>
        <w:pStyle w:val="ListParagraph"/>
        <w:numPr>
          <w:ilvl w:val="0"/>
          <w:numId w:val="6"/>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Оформление результатов поверки…………………………………...…………………………………11</w:t>
      </w:r>
    </w:p>
    <w:p>
      <w:pPr>
        <w:pStyle w:val="ListParagraph"/>
        <w:numPr>
          <w:ilvl w:val="0"/>
          <w:numId w:val="6"/>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Библиография………………………………………………………………………………………………12</w:t>
      </w:r>
    </w:p>
    <w:p>
      <w:pPr>
        <w:pStyle w:val="ListParagraph"/>
        <w:tabs>
          <w:tab w:val="clear" w:pos="708"/>
          <w:tab w:val="left" w:pos="8931" w:leader="none"/>
        </w:tabs>
        <w:spacing w:lineRule="auto" w:line="240" w:before="29" w:after="0"/>
        <w:ind w:left="426" w:right="79" w:hanging="0"/>
        <w:contextualSpacing/>
        <w:rPr>
          <w:rFonts w:ascii="Arial" w:hAnsi="Arial" w:eastAsia="Arial" w:cs="Arial"/>
          <w:sz w:val="20"/>
          <w:szCs w:val="20"/>
        </w:rPr>
      </w:pPr>
      <w:r>
        <w:rPr>
          <w:rFonts w:eastAsia="Arial" w:cs="Arial" w:ascii="Arial" w:hAnsi="Arial"/>
          <w:sz w:val="20"/>
          <w:szCs w:val="20"/>
        </w:rPr>
      </w:r>
    </w:p>
    <w:p>
      <w:pPr>
        <w:pStyle w:val="Normal"/>
        <w:spacing w:lineRule="auto" w:line="240" w:before="29" w:after="0"/>
        <w:ind w:left="4188" w:right="4215" w:hanging="0"/>
        <w:jc w:val="center"/>
        <w:rPr>
          <w:rFonts w:ascii="Arial" w:hAnsi="Arial" w:eastAsia="Arial" w:cs="Arial"/>
          <w:sz w:val="24"/>
          <w:szCs w:val="24"/>
        </w:rPr>
      </w:pPr>
      <w:r>
        <w:rPr>
          <w:rFonts w:eastAsia="Arial" w:cs="Arial" w:ascii="Arial" w:hAnsi="Arial"/>
          <w:sz w:val="24"/>
          <w:szCs w:val="24"/>
        </w:rPr>
      </w:r>
    </w:p>
    <w:p>
      <w:pPr>
        <w:sectPr>
          <w:type w:val="continuous"/>
          <w:pgSz w:w="11906" w:h="16838"/>
          <w:pgMar w:left="1701" w:right="850" w:gutter="0" w:header="0" w:top="1134" w:footer="0" w:bottom="1134"/>
          <w:formProt w:val="false"/>
          <w:textDirection w:val="lrTb"/>
          <w:docGrid w:type="default" w:linePitch="600" w:charSpace="36864"/>
        </w:sectPr>
      </w:pPr>
    </w:p>
    <w:p>
      <w:pPr>
        <w:pStyle w:val="Normal"/>
        <w:spacing w:lineRule="auto" w:line="240"/>
        <w:jc w:val="right"/>
        <w:rPr>
          <w:rFonts w:ascii="Arial" w:hAnsi="Arial" w:cs="Arial"/>
          <w:b/>
          <w:b/>
          <w:bCs/>
          <w:sz w:val="24"/>
          <w:szCs w:val="24"/>
        </w:rPr>
      </w:pPr>
      <w:r>
        <w:rPr>
          <w:rFonts w:cs="Arial" w:ascii="Arial" w:hAnsi="Arial"/>
          <w:b/>
          <w:bCs/>
          <w:sz w:val="24"/>
          <w:szCs w:val="24"/>
        </w:rPr>
      </w:r>
    </w:p>
    <w:p>
      <w:pPr>
        <w:pStyle w:val="Normal"/>
        <w:widowControl w:val="false"/>
        <w:spacing w:lineRule="auto" w:line="240" w:before="0" w:after="420"/>
        <w:ind w:left="-426" w:hanging="298"/>
        <w:jc w:val="center"/>
        <w:rPr>
          <w:rFonts w:ascii="Arial" w:hAnsi="Arial" w:eastAsia="Arial" w:cs="Arial"/>
          <w:b/>
          <w:b/>
          <w:bCs/>
          <w:color w:val="000000"/>
          <w:spacing w:val="62"/>
          <w:sz w:val="24"/>
          <w:szCs w:val="24"/>
          <w:lang w:eastAsia="ru-RU" w:bidi="ru-RU"/>
        </w:rPr>
      </w:pPr>
      <w:r>
        <mc:AlternateContent>
          <mc:Choice Requires="wps">
            <w:drawing>
              <wp:anchor behindDoc="0" distT="25400" distB="30480" distL="0" distR="20320" simplePos="0" locked="0" layoutInCell="0" allowOverlap="1" relativeHeight="11" wp14:anchorId="049DF239">
                <wp:simplePos x="0" y="0"/>
                <wp:positionH relativeFrom="column">
                  <wp:posOffset>-264795</wp:posOffset>
                </wp:positionH>
                <wp:positionV relativeFrom="paragraph">
                  <wp:posOffset>267970</wp:posOffset>
                </wp:positionV>
                <wp:extent cx="6202680" cy="7620"/>
                <wp:effectExtent l="635" t="29210" r="635" b="28575"/>
                <wp:wrapNone/>
                <wp:docPr id="7" name="Прямая соединительная линия 3"/>
                <a:graphic xmlns:a="http://schemas.openxmlformats.org/drawingml/2006/main">
                  <a:graphicData uri="http://schemas.microsoft.com/office/word/2010/wordprocessingShape">
                    <wps:wsp>
                      <wps:cNvSpPr/>
                      <wps:spPr>
                        <a:xfrm>
                          <a:off x="0" y="0"/>
                          <a:ext cx="6202800" cy="7560"/>
                        </a:xfrm>
                        <a:prstGeom prst="line">
                          <a:avLst/>
                        </a:prstGeom>
                        <a:ln w="57150">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0.85pt,21.1pt" to="467.5pt,21.65pt" ID="Прямая соединительная линия 3" stroked="t" o:allowincell="f" style="position:absolute" wp14:anchorId="049DF239">
                <v:stroke color="black" weight="57240" joinstyle="miter" endcap="flat"/>
                <v:fill o:detectmouseclick="t" on="false"/>
                <w10:wrap type="none"/>
              </v:line>
            </w:pict>
          </mc:Fallback>
        </mc:AlternateContent>
      </w:r>
      <w:r>
        <w:rPr>
          <w:rFonts w:eastAsia="Arial" w:cs="Arial" w:ascii="Arial" w:hAnsi="Arial"/>
          <w:b/>
          <w:bCs/>
          <w:color w:val="000000"/>
          <w:spacing w:val="62"/>
          <w:sz w:val="24"/>
          <w:szCs w:val="24"/>
          <w:lang w:eastAsia="ru-RU" w:bidi="ru-RU"/>
        </w:rPr>
        <w:t>НАЦИОНАЛЬНЫЙ СТАНДАРТ РОССИЙСКОЙ ФЕДЕРАЦИИ</w:t>
      </w:r>
    </w:p>
    <w:p>
      <w:pPr>
        <w:pStyle w:val="Normal"/>
        <w:spacing w:lineRule="auto" w:line="240" w:before="0" w:after="240"/>
        <w:jc w:val="center"/>
        <w:rPr>
          <w:rFonts w:ascii="Arial" w:hAnsi="Arial" w:cs="Arial"/>
          <w:b/>
          <w:b/>
          <w:bCs/>
          <w:sz w:val="24"/>
          <w:szCs w:val="24"/>
        </w:rPr>
      </w:pPr>
      <w:r>
        <w:rPr>
          <w:rFonts w:cs="Arial" w:ascii="Arial" w:hAnsi="Arial"/>
          <w:b/>
          <w:bCs/>
          <w:sz w:val="24"/>
          <w:szCs w:val="24"/>
        </w:rPr>
        <w:t>Государственная система обеспечения единства измерений</w:t>
      </w:r>
    </w:p>
    <w:p>
      <w:pPr>
        <w:pStyle w:val="Normal"/>
        <w:jc w:val="center"/>
        <w:rPr>
          <w:rFonts w:ascii="Arial" w:hAnsi="Arial" w:cs="Arial"/>
          <w:b/>
          <w:b/>
          <w:bCs/>
          <w:caps/>
          <w:sz w:val="28"/>
          <w:szCs w:val="28"/>
        </w:rPr>
      </w:pPr>
      <w:r>
        <w:rPr>
          <w:rFonts w:cs="Arial" w:ascii="Arial" w:hAnsi="Arial"/>
          <w:b/>
          <w:bCs/>
          <w:caps/>
          <w:sz w:val="28"/>
          <w:szCs w:val="28"/>
        </w:rPr>
        <w:t>АНАЛИЗАТОРЫ СПЕКТРА ОПТИЧЕСКОГО                                                ДЛЯ ВОЛОКОННО-ОПТИЧЕСКИХ СИСТЕМ ПЕРЕДАЧИ</w:t>
      </w:r>
    </w:p>
    <w:p>
      <w:pPr>
        <w:pStyle w:val="Normal"/>
        <w:jc w:val="center"/>
        <w:rPr>
          <w:rFonts w:ascii="Arial" w:hAnsi="Arial" w:cs="Arial"/>
          <w:b/>
          <w:b/>
          <w:bCs/>
          <w:sz w:val="24"/>
          <w:szCs w:val="24"/>
          <w:lang w:val="en-US"/>
        </w:rPr>
      </w:pPr>
      <w:r>
        <w:rPr>
          <w:rFonts w:cs="Arial" w:ascii="Arial" w:hAnsi="Arial"/>
          <w:b/>
          <w:bCs/>
          <w:sz w:val="24"/>
          <w:szCs w:val="24"/>
        </w:rPr>
        <w:t>Методика</w:t>
      </w:r>
      <w:r>
        <w:rPr>
          <w:rFonts w:cs="Arial" w:ascii="Arial" w:hAnsi="Arial"/>
          <w:b/>
          <w:bCs/>
          <w:sz w:val="24"/>
          <w:szCs w:val="24"/>
          <w:lang w:val="en-US"/>
        </w:rPr>
        <w:t xml:space="preserve"> </w:t>
      </w:r>
      <w:r>
        <w:rPr>
          <w:rFonts w:cs="Arial" w:ascii="Arial" w:hAnsi="Arial"/>
          <w:b/>
          <w:bCs/>
          <w:sz w:val="24"/>
          <w:szCs w:val="24"/>
        </w:rPr>
        <w:t>поверки</w:t>
      </w:r>
    </w:p>
    <w:p>
      <w:pPr>
        <w:pStyle w:val="Normal"/>
        <w:tabs>
          <w:tab w:val="clear" w:pos="708"/>
          <w:tab w:val="left" w:pos="6528" w:leader="none"/>
        </w:tabs>
        <w:jc w:val="center"/>
        <w:rPr>
          <w:rFonts w:ascii="Arial" w:hAnsi="Arial" w:eastAsia="Arial" w:cs="Arial"/>
          <w:color w:val="000000"/>
          <w:sz w:val="20"/>
          <w:szCs w:val="20"/>
          <w:lang w:val="en-US" w:eastAsia="ru-RU" w:bidi="ru-RU"/>
        </w:rPr>
      </w:pPr>
      <w:r>
        <mc:AlternateContent>
          <mc:Choice Requires="wps">
            <w:drawing>
              <wp:anchor behindDoc="0" distT="0" distB="5080" distL="0" distR="7620" simplePos="0" locked="0" layoutInCell="0" allowOverlap="1" relativeHeight="19" wp14:anchorId="6114371C">
                <wp:simplePos x="0" y="0"/>
                <wp:positionH relativeFrom="margin">
                  <wp:align>center</wp:align>
                </wp:positionH>
                <wp:positionV relativeFrom="paragraph">
                  <wp:posOffset>187325</wp:posOffset>
                </wp:positionV>
                <wp:extent cx="6202680" cy="7620"/>
                <wp:effectExtent l="635" t="6985" r="0" b="6350"/>
                <wp:wrapNone/>
                <wp:docPr id="8" name="Прямая соединительная линия 9"/>
                <a:graphic xmlns:a="http://schemas.openxmlformats.org/drawingml/2006/main">
                  <a:graphicData uri="http://schemas.microsoft.com/office/word/2010/wordprocessingShape">
                    <wps:wsp>
                      <wps:cNvSpPr/>
                      <wps:spPr>
                        <a:xfrm>
                          <a:off x="0" y="0"/>
                          <a:ext cx="6202800" cy="756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10.35pt,14.75pt" to="478pt,15.3pt" ID="Прямая соединительная линия 9" stroked="t" o:allowincell="f" style="position:absolute;mso-position-horizontal:center;mso-position-horizontal-relative:margin" wp14:anchorId="6114371C">
                <v:stroke color="black" weight="12600" joinstyle="miter" endcap="flat"/>
                <v:fill o:detectmouseclick="t" on="false"/>
                <w10:wrap type="none"/>
              </v:line>
            </w:pict>
          </mc:Fallback>
        </mc:AlternateContent>
      </w:r>
      <w:r>
        <w:rPr>
          <w:rFonts w:eastAsia="Arial" w:cs="Arial" w:ascii="Arial" w:hAnsi="Arial"/>
          <w:color w:val="000000"/>
          <w:sz w:val="20"/>
          <w:szCs w:val="20"/>
          <w:lang w:val="en-US" w:eastAsia="ru-RU" w:bidi="ru-RU"/>
        </w:rPr>
        <w:t>Optical spectrum analyzers for fiber optic transmission systems. Method of verification</w:t>
      </w:r>
    </w:p>
    <w:p>
      <w:pPr>
        <w:pStyle w:val="Normal"/>
        <w:tabs>
          <w:tab w:val="clear" w:pos="708"/>
          <w:tab w:val="left" w:pos="6528" w:leader="none"/>
        </w:tabs>
        <w:spacing w:lineRule="auto" w:line="240"/>
        <w:jc w:val="right"/>
        <w:rPr>
          <w:rFonts w:ascii="Arial" w:hAnsi="Arial" w:cs="Arial"/>
          <w:b/>
          <w:b/>
          <w:bCs/>
          <w:sz w:val="24"/>
          <w:szCs w:val="24"/>
          <w:lang w:val="en-US"/>
        </w:rPr>
      </w:pPr>
      <w:r>
        <w:rPr>
          <w:rFonts w:cs="Arial" w:ascii="Arial" w:hAnsi="Arial"/>
          <w:b/>
          <w:bCs/>
          <w:sz w:val="24"/>
          <w:szCs w:val="24"/>
        </w:rPr>
        <w:t>Дата</w:t>
      </w:r>
      <w:r>
        <w:rPr>
          <w:rFonts w:cs="Arial" w:ascii="Arial" w:hAnsi="Arial"/>
          <w:b/>
          <w:bCs/>
          <w:sz w:val="24"/>
          <w:szCs w:val="24"/>
          <w:lang w:val="en-US"/>
        </w:rPr>
        <w:t xml:space="preserve"> </w:t>
      </w:r>
      <w:r>
        <w:rPr>
          <w:rFonts w:cs="Arial" w:ascii="Arial" w:hAnsi="Arial"/>
          <w:b/>
          <w:bCs/>
          <w:sz w:val="24"/>
          <w:szCs w:val="24"/>
        </w:rPr>
        <w:t>введения</w:t>
      </w:r>
      <w:r>
        <w:rPr>
          <w:rFonts w:cs="Arial" w:ascii="Arial" w:hAnsi="Arial"/>
          <w:b/>
          <w:bCs/>
          <w:sz w:val="24"/>
          <w:szCs w:val="24"/>
          <w:lang w:val="en-US"/>
        </w:rPr>
        <w:t xml:space="preserve"> – </w:t>
      </w:r>
      <w:r>
        <w:rPr>
          <w:rFonts w:cs="Arial" w:ascii="Arial" w:hAnsi="Arial"/>
          <w:b/>
          <w:bCs/>
          <w:sz w:val="24"/>
          <w:szCs w:val="24"/>
        </w:rPr>
        <w:t>ХХХХ</w:t>
      </w:r>
      <w:r>
        <w:rPr>
          <w:rFonts w:cs="Arial" w:ascii="Arial" w:hAnsi="Arial"/>
          <w:b/>
          <w:bCs/>
          <w:sz w:val="24"/>
          <w:szCs w:val="24"/>
          <w:lang w:val="en-US"/>
        </w:rPr>
        <w:t>-</w:t>
      </w:r>
      <w:r>
        <w:rPr>
          <w:rFonts w:cs="Arial" w:ascii="Arial" w:hAnsi="Arial"/>
          <w:b/>
          <w:bCs/>
          <w:sz w:val="24"/>
          <w:szCs w:val="24"/>
        </w:rPr>
        <w:t>ХХ</w:t>
      </w:r>
      <w:r>
        <w:rPr>
          <w:rFonts w:cs="Arial" w:ascii="Arial" w:hAnsi="Arial"/>
          <w:b/>
          <w:bCs/>
          <w:sz w:val="24"/>
          <w:szCs w:val="24"/>
          <w:lang w:val="en-US"/>
        </w:rPr>
        <w:t xml:space="preserve">- </w:t>
      </w:r>
    </w:p>
    <w:p>
      <w:pPr>
        <w:pStyle w:val="31"/>
        <w:keepNext w:val="true"/>
        <w:keepLines/>
        <w:numPr>
          <w:ilvl w:val="0"/>
          <w:numId w:val="1"/>
        </w:numPr>
        <w:tabs>
          <w:tab w:val="clear" w:pos="708"/>
          <w:tab w:val="left" w:pos="426" w:leader="none"/>
        </w:tabs>
        <w:spacing w:before="0" w:after="260"/>
        <w:ind w:left="-567" w:firstLine="520"/>
        <w:jc w:val="both"/>
        <w:rPr>
          <w:rStyle w:val="3"/>
          <w:rFonts w:eastAsia="Arial"/>
          <w:b/>
          <w:b/>
          <w:bCs/>
          <w:color w:val="000000"/>
          <w:lang w:eastAsia="en-US"/>
        </w:rPr>
      </w:pPr>
      <w:bookmarkStart w:id="1" w:name="_Toc167124633"/>
      <w:bookmarkStart w:id="2" w:name="bookmark7"/>
      <w:bookmarkStart w:id="3" w:name="bookmark6"/>
      <w:r>
        <w:rPr>
          <w:rStyle w:val="3"/>
          <w:rFonts w:eastAsia="Arial"/>
          <w:b/>
          <w:bCs/>
          <w:color w:val="000000"/>
          <w:lang w:eastAsia="en-US"/>
        </w:rPr>
        <w:t>Область применения</w:t>
      </w:r>
      <w:bookmarkStart w:id="4" w:name="_Toc165936961"/>
      <w:bookmarkStart w:id="5" w:name="_Toc165936897"/>
      <w:bookmarkStart w:id="6" w:name="_Toc165936576"/>
      <w:bookmarkEnd w:id="1"/>
      <w:bookmarkEnd w:id="2"/>
      <w:bookmarkEnd w:id="3"/>
      <w:bookmarkEnd w:id="4"/>
      <w:bookmarkEnd w:id="5"/>
      <w:bookmarkEnd w:id="6"/>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 </w:t>
      </w:r>
      <w:r>
        <w:rPr>
          <w:rFonts w:eastAsia="Arial" w:cs="Arial" w:ascii="Arial" w:hAnsi="Arial"/>
          <w:sz w:val="20"/>
          <w:szCs w:val="20"/>
          <w:lang w:eastAsia="ru-RU" w:bidi="ru-RU"/>
        </w:rPr>
        <w:t>Настоящие рекомендации распространяются на оптические спектроанализаторы в волоконно-оптических системах передачи информации (далее — анализаторы спектра), предназначенные для измерения длины волны и проведения анализа оптического спектра, и устанавливают методику их периодической поверок.</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color w:val="000000" w:themeColor="text1"/>
          <w:sz w:val="20"/>
          <w:szCs w:val="20"/>
          <w:lang w:eastAsia="ru-RU" w:bidi="ru-RU"/>
        </w:rPr>
      </w:pPr>
      <w:r>
        <w:rPr>
          <w:rFonts w:eastAsia="Arial" w:cs="Arial" w:ascii="Arial" w:hAnsi="Arial"/>
          <w:sz w:val="20"/>
          <w:szCs w:val="20"/>
          <w:lang w:eastAsia="ru-RU" w:bidi="ru-RU"/>
        </w:rPr>
        <w:t xml:space="preserve"> </w:t>
      </w:r>
      <w:r>
        <w:rPr>
          <w:rFonts w:eastAsia="Arial" w:cs="Arial" w:ascii="Arial" w:hAnsi="Arial"/>
          <w:sz w:val="20"/>
          <w:szCs w:val="20"/>
          <w:lang w:eastAsia="ru-RU" w:bidi="ru-RU"/>
        </w:rPr>
        <w:t>Поверка в соответствии с требованиями настоящего стандарта обеспечивает передачу единиц. при поверке анализаторов спектра, применяемых в качестве рабочих средств измерений по государственной поверочной схеме для средств измерений длины и времени распространения сигнала в световоде, средней мощности, ослабления и длины волны оптического излучения для волоконно-оптических систем связи и передачи информации (Далее – ГПС</w:t>
      </w:r>
      <w:r>
        <w:rPr>
          <w:rFonts w:eastAsia="Arial" w:cs="Arial" w:ascii="Arial" w:hAnsi="Arial"/>
          <w:color w:val="000000" w:themeColor="text1"/>
          <w:sz w:val="20"/>
          <w:szCs w:val="20"/>
          <w:lang w:eastAsia="ru-RU" w:bidi="ru-RU"/>
        </w:rPr>
        <w:t>)</w:t>
      </w:r>
      <w:r>
        <w:rPr>
          <w:rFonts w:eastAsia="Arial" w:cs="Arial" w:ascii="Arial" w:hAnsi="Arial"/>
          <w:i/>
          <w:iCs/>
          <w:color w:val="000000" w:themeColor="text1"/>
          <w:sz w:val="20"/>
          <w:szCs w:val="20"/>
          <w:lang w:eastAsia="ru-RU" w:bidi="ru-RU"/>
        </w:rPr>
        <w:t>.</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i/>
          <w:iCs/>
          <w:color w:val="FF0000"/>
          <w:sz w:val="20"/>
          <w:szCs w:val="20"/>
          <w:lang w:eastAsia="ru-RU" w:bidi="ru-RU"/>
        </w:rPr>
        <w:t xml:space="preserve"> </w:t>
      </w:r>
      <w:r>
        <w:rPr>
          <w:rFonts w:eastAsia="Arial" w:cs="Arial" w:ascii="Arial" w:hAnsi="Arial"/>
          <w:i/>
          <w:iCs/>
          <w:color w:val="FF0000"/>
          <w:sz w:val="20"/>
          <w:szCs w:val="20"/>
          <w:lang w:eastAsia="ru-RU" w:bidi="ru-RU"/>
        </w:rPr>
        <w:t>При определении метрологических характеристик в рамках проводимой поверки обеспечивается передача единиц . в соответствии с ГПС, подтверждающая прослеживаемость к государственному первичному специальному эталону единиц длины и времени распространения сигнала в световоде, средней мощности, ослабления и длины волны оптического излучения для волоконно-оптических систем связи и передачи информации.</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 </w:t>
      </w:r>
      <w:r>
        <w:rPr>
          <w:rFonts w:eastAsia="Arial" w:cs="Arial" w:ascii="Arial" w:hAnsi="Arial"/>
          <w:sz w:val="20"/>
          <w:szCs w:val="20"/>
          <w:lang w:eastAsia="ru-RU" w:bidi="ru-RU"/>
        </w:rPr>
        <w:t>Настоящий стандарт может быть применен для первичной поверки анализаторов спектра при условии, что совокупность операций поверки, изложенная в данном стандарте, обеспечивает подтверждение соответствия анализатора требованиям, установленным при проведении испытаний в целях утверждения типа.</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 </w:t>
      </w:r>
      <w:r>
        <w:rPr>
          <w:rFonts w:eastAsia="Arial" w:cs="Arial" w:ascii="Arial" w:hAnsi="Arial"/>
          <w:sz w:val="20"/>
          <w:szCs w:val="20"/>
          <w:lang w:eastAsia="ru-RU" w:bidi="ru-RU"/>
        </w:rPr>
        <w:t xml:space="preserve">Интервал между поверками – установленный при утверждении типа поверяемого анализатора спектра. </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 </w:t>
      </w:r>
      <w:r>
        <w:rPr>
          <w:rFonts w:eastAsia="Arial" w:cs="Arial" w:ascii="Arial" w:hAnsi="Arial"/>
          <w:sz w:val="20"/>
          <w:szCs w:val="20"/>
          <w:lang w:eastAsia="ru-RU" w:bidi="ru-RU"/>
        </w:rPr>
        <w:t>Отдельные положения и разделы настоящего стандарта рекомендуется использовать при разработке индивидуальных методик поверки для конкретных типов анализаторов спектра.</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i/>
          <w:iCs/>
          <w:color w:val="FF0000"/>
          <w:sz w:val="20"/>
          <w:szCs w:val="20"/>
          <w:lang w:eastAsia="ru-RU" w:bidi="ru-RU"/>
        </w:rPr>
        <w:t xml:space="preserve"> </w:t>
      </w:r>
      <w:r>
        <w:rPr>
          <w:rFonts w:eastAsia="Arial" w:cs="Arial" w:ascii="Arial" w:hAnsi="Arial"/>
          <w:i/>
          <w:iCs/>
          <w:color w:val="FF0000"/>
          <w:sz w:val="20"/>
          <w:szCs w:val="20"/>
          <w:lang w:eastAsia="ru-RU" w:bidi="ru-RU"/>
        </w:rPr>
        <w:t>Допускается на основании письменного заявления владельца анализатора спектра или другого лица, представившего анализатор спектра на поверку, проведение поверки для ограниченного числа воспроизводимых величин влажности с обязательным указанием в свидетельстве о поверке информации об объеме проведенной поверки.</w:t>
      </w:r>
    </w:p>
    <w:p>
      <w:pPr>
        <w:pStyle w:val="Normal"/>
        <w:widowControl w:val="false"/>
        <w:spacing w:lineRule="auto" w:line="240" w:before="0" w:after="80"/>
        <w:ind w:left="-567" w:firstLine="560"/>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r>
    </w:p>
    <w:p>
      <w:pPr>
        <w:pStyle w:val="31"/>
        <w:keepNext w:val="true"/>
        <w:keepLines/>
        <w:numPr>
          <w:ilvl w:val="0"/>
          <w:numId w:val="1"/>
        </w:numPr>
        <w:tabs>
          <w:tab w:val="clear" w:pos="708"/>
          <w:tab w:val="left" w:pos="426" w:leader="none"/>
        </w:tabs>
        <w:spacing w:before="0" w:after="260"/>
        <w:ind w:left="-567" w:firstLine="520"/>
        <w:jc w:val="both"/>
        <w:rPr>
          <w:rStyle w:val="3"/>
          <w:rFonts w:eastAsia="Arial"/>
          <w:b/>
          <w:b/>
          <w:bCs/>
          <w:color w:val="000000"/>
          <w:lang w:eastAsia="en-US"/>
        </w:rPr>
      </w:pPr>
      <w:bookmarkStart w:id="7" w:name="_Toc167124634"/>
      <w:r>
        <w:rPr>
          <w:rStyle w:val="3"/>
          <w:rFonts w:eastAsia="Arial"/>
          <w:b/>
          <w:bCs/>
          <w:color w:val="000000"/>
          <w:lang w:eastAsia="en-US"/>
        </w:rPr>
        <w:t>Нормативные ссылки</w:t>
      </w:r>
      <w:bookmarkStart w:id="8" w:name="_Toc165937085"/>
      <w:bookmarkStart w:id="9" w:name="_Toc165937030"/>
      <w:bookmarkStart w:id="10" w:name="_Toc165937007"/>
      <w:bookmarkStart w:id="11" w:name="_Toc165936962"/>
      <w:bookmarkStart w:id="12" w:name="_Toc165936898"/>
      <w:bookmarkStart w:id="13" w:name="_Toc165936792"/>
      <w:bookmarkStart w:id="14" w:name="_Toc165936577"/>
      <w:bookmarkEnd w:id="7"/>
      <w:bookmarkEnd w:id="8"/>
      <w:bookmarkEnd w:id="9"/>
      <w:bookmarkEnd w:id="10"/>
      <w:bookmarkEnd w:id="11"/>
      <w:bookmarkEnd w:id="12"/>
      <w:bookmarkEnd w:id="13"/>
      <w:bookmarkEnd w:id="14"/>
    </w:p>
    <w:p>
      <w:pPr>
        <w:pStyle w:val="ListParagraph"/>
        <w:widowControl w:val="false"/>
        <w:spacing w:lineRule="auto" w:line="240" w:before="0" w:after="0"/>
        <w:ind w:left="0"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В настоящем стандарте использованы ссылки на следующие стандарты:</w:t>
      </w:r>
    </w:p>
    <w:p>
      <w:pPr>
        <w:pStyle w:val="Style21"/>
        <w:spacing w:lineRule="auto" w:line="240"/>
        <w:ind w:left="440" w:firstLine="709"/>
        <w:jc w:val="both"/>
        <w:rPr>
          <w:rStyle w:val="12"/>
          <w:color w:val="000000"/>
          <w:sz w:val="20"/>
          <w:szCs w:val="20"/>
        </w:rPr>
      </w:pPr>
      <w:r>
        <w:rPr>
          <w:rStyle w:val="12"/>
          <w:color w:val="000000"/>
          <w:sz w:val="20"/>
          <w:szCs w:val="20"/>
        </w:rPr>
        <w:t>ГОСТ 8.585—2005 Государственная система обеспечения единства измерений. Государственная поверочная схема для средств измерений длины и времени распространения сигнала в световоде, средней мощности, ослабления и длины волны для волоконно-оптических систем связи и передачи информации</w:t>
      </w:r>
    </w:p>
    <w:p>
      <w:pPr>
        <w:pStyle w:val="Style21"/>
        <w:shd w:val="clear" w:color="auto" w:fill="auto"/>
        <w:spacing w:lineRule="auto" w:line="240"/>
        <w:ind w:left="440" w:firstLine="709"/>
        <w:jc w:val="both"/>
        <w:rPr>
          <w:rStyle w:val="12"/>
          <w:color w:val="000000"/>
          <w:sz w:val="20"/>
          <w:szCs w:val="20"/>
        </w:rPr>
      </w:pPr>
      <w:r>
        <w:rPr>
          <w:rStyle w:val="12"/>
          <w:color w:val="000000"/>
          <w:sz w:val="20"/>
          <w:szCs w:val="20"/>
        </w:rPr>
        <w:t>ГОСТ 12.1.040—83 Система стандартов безопасности труда. Лазерная безопасность. Общие положения.</w:t>
      </w:r>
    </w:p>
    <w:p>
      <w:pPr>
        <w:pStyle w:val="22"/>
        <w:shd w:val="clear" w:color="auto" w:fill="auto"/>
        <w:spacing w:lineRule="auto" w:line="240" w:before="0" w:after="460"/>
        <w:ind w:left="-426" w:firstLine="540"/>
        <w:jc w:val="both"/>
        <w:rPr>
          <w:rStyle w:val="12"/>
          <w:sz w:val="20"/>
          <w:szCs w:val="20"/>
          <w:shd w:fill="auto" w:val="clear"/>
        </w:rPr>
      </w:pPr>
      <w:r>
        <mc:AlternateContent>
          <mc:Choice Requires="wps">
            <w:drawing>
              <wp:anchor behindDoc="1" distT="0" distB="0" distL="0" distR="0" simplePos="0" locked="0" layoutInCell="0" allowOverlap="1" relativeHeight="20" wp14:anchorId="4EF5286D">
                <wp:simplePos x="0" y="0"/>
                <wp:positionH relativeFrom="margin">
                  <wp:posOffset>-121920</wp:posOffset>
                </wp:positionH>
                <wp:positionV relativeFrom="page">
                  <wp:posOffset>9712960</wp:posOffset>
                </wp:positionV>
                <wp:extent cx="6210300" cy="815340"/>
                <wp:effectExtent l="0" t="0" r="0" b="0"/>
                <wp:wrapNone/>
                <wp:docPr id="9" name="Надпись 1"/>
                <a:graphic xmlns:a="http://schemas.openxmlformats.org/drawingml/2006/main">
                  <a:graphicData uri="http://schemas.microsoft.com/office/word/2010/wordprocessingShape">
                    <wps:wsp>
                      <wps:cNvSpPr/>
                      <wps:spPr>
                        <a:xfrm>
                          <a:off x="0" y="0"/>
                          <a:ext cx="6210360" cy="815400"/>
                        </a:xfrm>
                        <a:prstGeom prst="rect">
                          <a:avLst/>
                        </a:prstGeom>
                        <a:noFill/>
                        <a:ln w="6350">
                          <a:noFill/>
                        </a:ln>
                      </wps:spPr>
                      <wps:style>
                        <a:lnRef idx="0"/>
                        <a:fillRef idx="0"/>
                        <a:effectRef idx="0"/>
                        <a:fontRef idx="minor"/>
                      </wps:style>
                      <wps:txbx>
                        <w:txbxContent>
                          <w:p>
                            <w:pPr>
                              <w:pStyle w:val="Style30"/>
                              <w:rPr>
                                <w:lang w:val="en-US"/>
                              </w:rPr>
                            </w:pPr>
                            <w: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o:allowincell="f" style="position:absolute;margin-left:0pt;margin-top:-1.75pt;width:474.05pt;height:1.65pt;mso-wrap-style:none;v-text-anchor:middle;rotation:180;mso-position-vertical:top" wp14:anchorId="448ABBF9" type="_x0000_t75">
                                  <v:imagedata r:id="rId4" o:detectmouseclick="t"/>
                                  <v:stroke color="#3465a4" joinstyle="round" endcap="flat"/>
                                  <w10:wrap type="square"/>
                                </v:shape>
                              </w:pict>
                            </w:r>
                          </w:p>
                          <w:p>
                            <w:pPr>
                              <w:pStyle w:val="Style30"/>
                              <w:spacing w:before="0" w:after="160"/>
                              <w:rPr>
                                <w:rFonts w:ascii="Arial" w:hAnsi="Arial" w:cs="Arial"/>
                                <w:sz w:val="20"/>
                                <w:szCs w:val="20"/>
                              </w:rPr>
                            </w:pPr>
                            <w:r>
                              <w:rPr>
                                <w:rFonts w:cs="Arial" w:ascii="Arial" w:hAnsi="Arial"/>
                                <w:sz w:val="20"/>
                                <w:szCs w:val="20"/>
                              </w:rPr>
                              <w:t>Издание официальное</w:t>
                            </w:r>
                          </w:p>
                        </w:txbxContent>
                      </wps:txbx>
                      <wps:bodyPr anchor="t">
                        <a:prstTxWarp prst="textNoShape"/>
                        <a:noAutofit/>
                      </wps:bodyPr>
                    </wps:wsp>
                  </a:graphicData>
                </a:graphic>
              </wp:anchor>
            </w:drawing>
          </mc:Choice>
          <mc:Fallback>
            <w:pict>
              <v:rect id="shape_0" ID="Надпись 1" path="m0,0l-2147483645,0l-2147483645,-2147483646l0,-2147483646xe" stroked="f" o:allowincell="f" style="position:absolute;margin-left:-9.6pt;margin-top:764.8pt;width:488.95pt;height:64.15pt;mso-wrap-style:square;v-text-anchor:top;mso-position-horizontal-relative:margin;mso-position-vertical-relative:page" wp14:anchorId="4EF5286D">
                <v:fill o:detectmouseclick="t" on="false"/>
                <v:stroke color="#3465a4" weight="6480" joinstyle="round" endcap="flat"/>
                <v:textbox>
                  <w:txbxContent>
                    <w:p>
                      <w:pPr>
                        <w:pStyle w:val="Style30"/>
                        <w:rPr>
                          <w:lang w:val="en-US"/>
                        </w:rPr>
                      </w:pPr>
                      <w:r>
                        <w:rPr/>
                        <w:pict>
                          <v:shape id="shape_0" ID="Picture 1" stroked="f" o:allowincell="f" style="position:absolute;margin-left:0pt;margin-top:-1.75pt;width:474.05pt;height:1.65pt;mso-wrap-style:none;v-text-anchor:middle;rotation:180;mso-position-vertical:top" wp14:anchorId="448ABBF9" type="_x0000_t75">
                            <v:imagedata r:id="rId5" o:detectmouseclick="t"/>
                            <v:stroke color="#3465a4" joinstyle="round" endcap="flat"/>
                            <w10:wrap type="square"/>
                          </v:shape>
                        </w:pict>
                      </w:r>
                    </w:p>
                    <w:p>
                      <w:pPr>
                        <w:pStyle w:val="Style30"/>
                        <w:spacing w:before="0" w:after="160"/>
                        <w:rPr>
                          <w:rFonts w:ascii="Arial" w:hAnsi="Arial" w:cs="Arial"/>
                          <w:sz w:val="20"/>
                          <w:szCs w:val="20"/>
                        </w:rPr>
                      </w:pPr>
                      <w:r>
                        <w:rPr>
                          <w:rFonts w:cs="Arial" w:ascii="Arial" w:hAnsi="Arial"/>
                          <w:sz w:val="20"/>
                          <w:szCs w:val="20"/>
                        </w:rPr>
                        <w:t>Издание официальное</w:t>
                      </w:r>
                    </w:p>
                  </w:txbxContent>
                </v:textbox>
                <w10:wrap type="square"/>
              </v:rect>
            </w:pict>
          </mc:Fallback>
        </mc:AlternateContent>
      </w:r>
      <w:r>
        <w:rPr>
          <w:rStyle w:val="2"/>
          <w:color w:val="000000"/>
          <w:sz w:val="20"/>
          <w:szCs w:val="20"/>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«Национального стандарты» за текущий год. Если ссылочный документ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pPr>
        <w:pStyle w:val="31"/>
        <w:keepNext w:val="true"/>
        <w:keepLines/>
        <w:numPr>
          <w:ilvl w:val="0"/>
          <w:numId w:val="1"/>
        </w:numPr>
        <w:tabs>
          <w:tab w:val="clear" w:pos="708"/>
          <w:tab w:val="left" w:pos="426" w:leader="none"/>
        </w:tabs>
        <w:spacing w:before="0" w:after="260"/>
        <w:ind w:left="-567" w:firstLine="520"/>
        <w:jc w:val="both"/>
        <w:rPr>
          <w:rStyle w:val="3"/>
          <w:rFonts w:eastAsia="Arial"/>
          <w:b/>
          <w:b/>
          <w:bCs/>
          <w:color w:val="000000"/>
          <w:lang w:eastAsia="en-US"/>
        </w:rPr>
      </w:pPr>
      <w:bookmarkStart w:id="15" w:name="_Hlk165901466"/>
      <w:bookmarkStart w:id="16" w:name="_Toc167124635"/>
      <w:bookmarkStart w:id="17" w:name="bookmark11"/>
      <w:bookmarkStart w:id="18" w:name="bookmark10"/>
      <w:r>
        <w:rPr>
          <w:rStyle w:val="3"/>
          <w:rFonts w:eastAsia="Arial"/>
          <w:b/>
          <w:bCs/>
          <w:color w:val="000000"/>
          <w:lang w:eastAsia="en-US"/>
        </w:rPr>
        <w:t>Термины, определения и обозначения</w:t>
      </w:r>
      <w:bookmarkStart w:id="19" w:name="_Toc165937086"/>
      <w:bookmarkStart w:id="20" w:name="_Toc165937031"/>
      <w:bookmarkStart w:id="21" w:name="_Toc165937008"/>
      <w:bookmarkStart w:id="22" w:name="_Toc165936963"/>
      <w:bookmarkStart w:id="23" w:name="_Toc165936899"/>
      <w:bookmarkStart w:id="24" w:name="_Toc165936793"/>
      <w:bookmarkStart w:id="25" w:name="_Toc165936578"/>
      <w:bookmarkEnd w:id="15"/>
      <w:bookmarkEnd w:id="16"/>
      <w:bookmarkEnd w:id="17"/>
      <w:bookmarkEnd w:id="18"/>
      <w:bookmarkEnd w:id="19"/>
      <w:bookmarkEnd w:id="20"/>
      <w:bookmarkEnd w:id="21"/>
      <w:bookmarkEnd w:id="22"/>
      <w:bookmarkEnd w:id="23"/>
      <w:bookmarkEnd w:id="24"/>
      <w:bookmarkEnd w:id="25"/>
    </w:p>
    <w:p>
      <w:pPr>
        <w:pStyle w:val="Normal"/>
        <w:widowControl w:val="false"/>
        <w:spacing w:lineRule="auto" w:line="240" w:before="0" w:after="0"/>
        <w:ind w:left="-284" w:firstLine="71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 настоящем стандарте применены термины по ГОСТ 27176—86 и следующие термины с соответствующими определениями:</w:t>
      </w:r>
    </w:p>
    <w:p>
      <w:pPr>
        <w:pStyle w:val="Style21"/>
        <w:shd w:val="clear" w:color="auto" w:fill="auto"/>
        <w:spacing w:lineRule="auto" w:line="240"/>
        <w:ind w:left="-426" w:firstLine="540"/>
        <w:jc w:val="both"/>
        <w:rPr>
          <w:rFonts w:eastAsia="Arial"/>
          <w:sz w:val="20"/>
          <w:szCs w:val="20"/>
          <w:lang w:eastAsia="ru-RU" w:bidi="ru-RU"/>
        </w:rPr>
      </w:pPr>
      <w:r>
        <w:rPr>
          <w:rFonts w:eastAsia="Arial"/>
          <w:sz w:val="20"/>
          <w:szCs w:val="20"/>
          <w:lang w:eastAsia="ru-RU" w:bidi="ru-RU"/>
        </w:rPr>
      </w:r>
    </w:p>
    <w:p>
      <w:pPr>
        <w:pStyle w:val="31"/>
        <w:keepNext w:val="true"/>
        <w:keepLines/>
        <w:numPr>
          <w:ilvl w:val="0"/>
          <w:numId w:val="1"/>
        </w:numPr>
        <w:tabs>
          <w:tab w:val="clear" w:pos="708"/>
          <w:tab w:val="left" w:pos="426" w:leader="none"/>
        </w:tabs>
        <w:spacing w:before="0" w:after="260"/>
        <w:ind w:left="-567" w:firstLine="520"/>
        <w:jc w:val="both"/>
        <w:rPr>
          <w:rStyle w:val="3"/>
          <w:rFonts w:eastAsia="Arial"/>
          <w:b/>
          <w:b/>
          <w:bCs/>
          <w:color w:val="000000"/>
          <w:lang w:eastAsia="en-US"/>
        </w:rPr>
      </w:pPr>
      <w:r>
        <w:rPr>
          <w:rStyle w:val="3"/>
          <w:rFonts w:eastAsia="Arial"/>
          <w:b/>
          <w:color w:val="000000"/>
          <w:lang w:eastAsia="en-US"/>
        </w:rPr>
        <w:t xml:space="preserve"> </w:t>
      </w:r>
      <w:bookmarkStart w:id="26" w:name="_Toc167124636"/>
      <w:bookmarkStart w:id="27" w:name="_Toc165937087"/>
      <w:bookmarkStart w:id="28" w:name="_Toc165937032"/>
      <w:bookmarkStart w:id="29" w:name="_Toc165937009"/>
      <w:bookmarkStart w:id="30" w:name="_Toc165936964"/>
      <w:bookmarkStart w:id="31" w:name="_Toc165936900"/>
      <w:bookmarkStart w:id="32" w:name="_Toc165936579"/>
      <w:bookmarkEnd w:id="27"/>
      <w:bookmarkEnd w:id="28"/>
      <w:bookmarkEnd w:id="29"/>
      <w:bookmarkEnd w:id="30"/>
      <w:bookmarkEnd w:id="31"/>
      <w:bookmarkEnd w:id="32"/>
      <w:r>
        <w:rPr>
          <w:rStyle w:val="3"/>
          <w:rFonts w:eastAsia="Arial"/>
          <w:b/>
          <w:bCs/>
          <w:color w:val="000000"/>
          <w:lang w:eastAsia="en-US"/>
        </w:rPr>
        <w:t>Методика поверки</w:t>
      </w:r>
      <w:bookmarkEnd w:id="26"/>
    </w:p>
    <w:p>
      <w:pPr>
        <w:pStyle w:val="1"/>
        <w:widowControl w:val="false"/>
        <w:numPr>
          <w:ilvl w:val="1"/>
          <w:numId w:val="1"/>
        </w:numPr>
        <w:tabs>
          <w:tab w:val="clear" w:pos="708"/>
          <w:tab w:val="left" w:pos="360" w:leader="none"/>
        </w:tabs>
        <w:spacing w:lineRule="auto" w:line="240" w:before="0" w:after="120"/>
        <w:ind w:left="425" w:hanging="425"/>
        <w:rPr>
          <w:rFonts w:ascii="Arial" w:hAnsi="Arial" w:eastAsia="Arial" w:cs="Arial"/>
          <w:b/>
          <w:b/>
          <w:bCs/>
          <w:color w:val="auto"/>
          <w:spacing w:val="-1"/>
          <w:sz w:val="20"/>
          <w:szCs w:val="20"/>
        </w:rPr>
      </w:pPr>
      <w:bookmarkStart w:id="33" w:name="_Toc167124637"/>
      <w:r>
        <w:rPr>
          <w:rFonts w:eastAsia="Arial" w:cs="Arial" w:ascii="Arial" w:hAnsi="Arial"/>
          <w:b/>
          <w:bCs/>
          <w:color w:val="auto"/>
          <w:spacing w:val="-1"/>
          <w:sz w:val="20"/>
          <w:szCs w:val="20"/>
        </w:rPr>
        <w:t>Операции поверки</w:t>
      </w:r>
      <w:bookmarkEnd w:id="33"/>
    </w:p>
    <w:p>
      <w:pPr>
        <w:pStyle w:val="Normal"/>
        <w:widowControl w:val="false"/>
        <w:spacing w:lineRule="auto" w:line="240" w:before="0" w:after="80"/>
        <w:ind w:left="-567" w:firstLine="560"/>
        <w:jc w:val="both"/>
        <w:rPr>
          <w:rFonts w:ascii="Arial" w:hAnsi="Arial" w:eastAsia="Arial" w:cs="Arial"/>
          <w:sz w:val="20"/>
          <w:szCs w:val="20"/>
          <w:lang w:eastAsia="ru-RU" w:bidi="ru-RU"/>
        </w:rPr>
      </w:pPr>
      <w:r>
        <w:rPr>
          <w:rFonts w:eastAsia="Arial" w:cs="Arial" w:ascii="Arial" w:hAnsi="Arial"/>
          <w:sz w:val="20"/>
          <w:szCs w:val="20"/>
          <w:lang w:eastAsia="ru-RU" w:bidi="ru-RU"/>
        </w:rPr>
        <w:t>При проведении поверки должны быть выполнены операции, указанные в таблице 4.1.</w:t>
      </w:r>
    </w:p>
    <w:p>
      <w:pPr>
        <w:pStyle w:val="Normal"/>
        <w:widowControl w:val="false"/>
        <w:spacing w:lineRule="auto" w:line="240" w:before="0" w:after="80"/>
        <w:ind w:left="-567" w:firstLine="560"/>
        <w:jc w:val="both"/>
        <w:rPr>
          <w:rFonts w:ascii="Arial" w:hAnsi="Arial" w:eastAsia="Arial" w:cs="Arial"/>
          <w:sz w:val="20"/>
          <w:szCs w:val="20"/>
          <w:lang w:eastAsia="ru-RU" w:bidi="ru-RU"/>
        </w:rPr>
      </w:pPr>
      <w:r>
        <w:rPr>
          <w:rFonts w:eastAsia="Arial" w:cs="Arial" w:ascii="Arial" w:hAnsi="Arial"/>
          <w:sz w:val="20"/>
          <w:szCs w:val="20"/>
          <w:lang w:eastAsia="ru-RU" w:bidi="ru-RU"/>
        </w:rPr>
        <w:t>Таблица 4.1— Операции поверки</w:t>
      </w:r>
    </w:p>
    <w:tbl>
      <w:tblPr>
        <w:tblW w:w="9768" w:type="dxa"/>
        <w:jc w:val="center"/>
        <w:tblInd w:w="0" w:type="dxa"/>
        <w:tblLayout w:type="fixed"/>
        <w:tblCellMar>
          <w:top w:w="0" w:type="dxa"/>
          <w:left w:w="10" w:type="dxa"/>
          <w:bottom w:w="0" w:type="dxa"/>
          <w:right w:w="10" w:type="dxa"/>
        </w:tblCellMar>
        <w:tblLook w:val="0000" w:noHBand="0" w:noVBand="0" w:firstColumn="0" w:lastRow="0" w:lastColumn="0" w:firstRow="0"/>
      </w:tblPr>
      <w:tblGrid>
        <w:gridCol w:w="4093"/>
        <w:gridCol w:w="2138"/>
        <w:gridCol w:w="1850"/>
        <w:gridCol w:w="1686"/>
      </w:tblGrid>
      <w:tr>
        <w:trPr>
          <w:trHeight w:val="329" w:hRule="exact"/>
        </w:trPr>
        <w:tc>
          <w:tcPr>
            <w:tcW w:w="4093" w:type="dxa"/>
            <w:vMerge w:val="restart"/>
            <w:tcBorders>
              <w:top w:val="single" w:sz="4" w:space="0" w:color="000000"/>
              <w:left w:val="single" w:sz="4" w:space="0" w:color="000000"/>
            </w:tcBorders>
            <w:shd w:color="auto" w:fill="FFFFFF" w:val="clear"/>
            <w:vAlign w:val="center"/>
          </w:tcPr>
          <w:p>
            <w:pPr>
              <w:pStyle w:val="Normal"/>
              <w:widowControl w:val="false"/>
              <w:spacing w:lineRule="auto" w:line="240" w:before="0" w:after="0"/>
              <w:ind w:left="-155" w:hanging="298"/>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Наименование операции</w:t>
            </w:r>
          </w:p>
        </w:tc>
        <w:tc>
          <w:tcPr>
            <w:tcW w:w="2138" w:type="dxa"/>
            <w:vMerge w:val="restart"/>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Структурный элемент настоящего стандарта</w:t>
            </w:r>
          </w:p>
        </w:tc>
        <w:tc>
          <w:tcPr>
            <w:tcW w:w="3536" w:type="dxa"/>
            <w:gridSpan w:val="2"/>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Проведение операции при</w:t>
            </w:r>
          </w:p>
        </w:tc>
      </w:tr>
      <w:tr>
        <w:trPr>
          <w:trHeight w:val="562" w:hRule="exact"/>
        </w:trPr>
        <w:tc>
          <w:tcPr>
            <w:tcW w:w="4093" w:type="dxa"/>
            <w:vMerge w:val="continue"/>
            <w:tcBorders>
              <w:left w:val="single" w:sz="4" w:space="0" w:color="000000"/>
            </w:tcBorders>
            <w:shd w:color="auto" w:fill="FFFFFF" w:val="clear"/>
            <w:vAlign w:val="cente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2138" w:type="dxa"/>
            <w:vMerge w:val="continue"/>
            <w:tcBorders>
              <w:left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tc>
        <w:tc>
          <w:tcPr>
            <w:tcW w:w="1850"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первичной поверке</w:t>
            </w:r>
          </w:p>
        </w:tc>
        <w:tc>
          <w:tcPr>
            <w:tcW w:w="1686"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периодической поверке</w:t>
            </w:r>
          </w:p>
        </w:tc>
      </w:tr>
      <w:tr>
        <w:trPr>
          <w:trHeight w:val="439" w:hRule="exact"/>
        </w:trPr>
        <w:tc>
          <w:tcPr>
            <w:tcW w:w="4093"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Внешний осмотр</w:t>
            </w:r>
          </w:p>
        </w:tc>
        <w:tc>
          <w:tcPr>
            <w:tcW w:w="2138"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4.7.1</w:t>
            </w:r>
          </w:p>
        </w:tc>
        <w:tc>
          <w:tcPr>
            <w:tcW w:w="1850"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686"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w:t>
            </w:r>
          </w:p>
        </w:tc>
      </w:tr>
      <w:tr>
        <w:trPr>
          <w:trHeight w:val="390" w:hRule="exact"/>
        </w:trPr>
        <w:tc>
          <w:tcPr>
            <w:tcW w:w="4093"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Опробование</w:t>
            </w:r>
          </w:p>
        </w:tc>
        <w:tc>
          <w:tcPr>
            <w:tcW w:w="2138"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4.7.2</w:t>
            </w:r>
          </w:p>
        </w:tc>
        <w:tc>
          <w:tcPr>
            <w:tcW w:w="1850"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686"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r>
      <w:tr>
        <w:trPr>
          <w:trHeight w:val="354" w:hRule="exact"/>
        </w:trPr>
        <w:tc>
          <w:tcPr>
            <w:tcW w:w="4093"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ind w:left="440" w:firstLine="129"/>
              <w:rPr>
                <w:rFonts w:ascii="Arial" w:hAnsi="Arial" w:eastAsia="Times New Roman" w:cs="Arial"/>
                <w:color w:val="FF0000"/>
                <w:sz w:val="20"/>
                <w:szCs w:val="20"/>
                <w:lang w:eastAsia="ru-RU" w:bidi="ru-RU"/>
              </w:rPr>
            </w:pPr>
            <w:r>
              <w:rPr>
                <w:rFonts w:eastAsia="Times New Roman" w:cs="Arial" w:ascii="Arial" w:hAnsi="Arial"/>
                <w:color w:val="FF0000"/>
                <w:sz w:val="20"/>
                <w:szCs w:val="20"/>
                <w:lang w:eastAsia="ru-RU" w:bidi="ru-RU"/>
              </w:rPr>
              <w:t>Подтверждение соответствия ПО</w:t>
            </w:r>
          </w:p>
        </w:tc>
        <w:tc>
          <w:tcPr>
            <w:tcW w:w="2138"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4.7.3</w:t>
            </w:r>
          </w:p>
        </w:tc>
        <w:tc>
          <w:tcPr>
            <w:tcW w:w="1850"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686"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r>
      <w:tr>
        <w:trPr>
          <w:trHeight w:val="742" w:hRule="exact"/>
        </w:trPr>
        <w:tc>
          <w:tcPr>
            <w:tcW w:w="4093"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диапазона измерения длин волн и основной абсолютной погрешности измерения длин волн</w:t>
            </w:r>
          </w:p>
        </w:tc>
        <w:tc>
          <w:tcPr>
            <w:tcW w:w="21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4.7.4</w:t>
            </w:r>
          </w:p>
        </w:tc>
        <w:tc>
          <w:tcPr>
            <w:tcW w:w="1850"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r>
      <w:tr>
        <w:trPr>
          <w:trHeight w:val="862" w:hRule="exact"/>
        </w:trPr>
        <w:tc>
          <w:tcPr>
            <w:tcW w:w="4093"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sz w:val="20"/>
                <w:szCs w:val="20"/>
              </w:rPr>
              <w:t>Определение динамического диапазона и основной абсолютной погрешности измерения средней мощности излучения</w:t>
            </w:r>
          </w:p>
        </w:tc>
        <w:tc>
          <w:tcPr>
            <w:tcW w:w="21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4.7.5</w:t>
            </w:r>
          </w:p>
        </w:tc>
        <w:tc>
          <w:tcPr>
            <w:tcW w:w="1850"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c>
          <w:tcPr>
            <w:tcW w:w="1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r>
      <w:tr>
        <w:trPr>
          <w:trHeight w:val="479" w:hRule="exact"/>
        </w:trPr>
        <w:tc>
          <w:tcPr>
            <w:tcW w:w="4093"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rPr>
                <w:rFonts w:ascii="Arial" w:hAnsi="Arial" w:eastAsia="Times New Roman" w:cs="Arial"/>
                <w:color w:val="2E2C2F"/>
                <w:sz w:val="20"/>
                <w:szCs w:val="20"/>
                <w:lang w:eastAsia="ru-RU" w:bidi="ru-RU"/>
              </w:rPr>
            </w:pPr>
            <w:r>
              <w:rPr>
                <w:rFonts w:cs="Arial" w:ascii="Arial" w:hAnsi="Arial"/>
                <w:color w:val="000000"/>
                <w:sz w:val="20"/>
                <w:szCs w:val="20"/>
              </w:rPr>
              <w:t>Определение разрешения по шкале длин волн</w:t>
            </w:r>
          </w:p>
        </w:tc>
        <w:tc>
          <w:tcPr>
            <w:tcW w:w="21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4.7.6</w:t>
            </w:r>
          </w:p>
        </w:tc>
        <w:tc>
          <w:tcPr>
            <w:tcW w:w="1850"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c>
          <w:tcPr>
            <w:tcW w:w="1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w:t>
            </w:r>
          </w:p>
        </w:tc>
      </w:tr>
    </w:tbl>
    <w:p>
      <w:pPr>
        <w:pStyle w:val="Normal"/>
        <w:widowControl w:val="false"/>
        <w:spacing w:lineRule="auto" w:line="240" w:before="0" w:after="80"/>
        <w:ind w:left="-142" w:right="-130" w:firstLine="709"/>
        <w:jc w:val="both"/>
        <w:rPr>
          <w:rFonts w:ascii="Arial" w:hAnsi="Arial" w:eastAsia="Arial" w:cs="Arial"/>
          <w:sz w:val="20"/>
          <w:szCs w:val="20"/>
          <w:lang w:eastAsia="ru-RU" w:bidi="ru-RU"/>
        </w:rPr>
      </w:pPr>
      <w:r>
        <w:rPr>
          <w:rFonts w:eastAsia="Arial" w:cs="Arial" w:ascii="Arial" w:hAnsi="Arial"/>
          <w:sz w:val="20"/>
          <w:szCs w:val="20"/>
          <w:lang w:eastAsia="ru-RU" w:bidi="ru-RU"/>
        </w:rPr>
        <w:t>Результаты поверки считают отрицательными, если при выполнении любой из операций получен отрицательный результат.</w:t>
      </w:r>
    </w:p>
    <w:p>
      <w:pPr>
        <w:pStyle w:val="1"/>
        <w:widowControl w:val="false"/>
        <w:spacing w:lineRule="auto" w:line="240" w:before="0" w:after="120"/>
        <w:ind w:left="360" w:hanging="298"/>
        <w:rPr>
          <w:rFonts w:ascii="Arial" w:hAnsi="Arial" w:eastAsia="Arial" w:cs="Arial"/>
          <w:b/>
          <w:b/>
          <w:bCs/>
          <w:color w:val="auto"/>
          <w:spacing w:val="-1"/>
          <w:sz w:val="20"/>
          <w:szCs w:val="20"/>
        </w:rPr>
      </w:pPr>
      <w:r>
        <w:rPr>
          <w:rFonts w:eastAsia="Arial" w:cs="Arial" w:ascii="Arial" w:hAnsi="Arial"/>
          <w:b/>
          <w:bCs/>
          <w:color w:val="auto"/>
          <w:spacing w:val="-1"/>
          <w:sz w:val="20"/>
          <w:szCs w:val="20"/>
        </w:rPr>
        <w:t>4.2 Средства поверки</w:t>
      </w:r>
    </w:p>
    <w:p>
      <w:pPr>
        <w:pStyle w:val="Normal"/>
        <w:widowControl w:val="false"/>
        <w:spacing w:lineRule="auto" w:line="240" w:before="0" w:after="0"/>
        <w:ind w:left="-142" w:right="-130" w:firstLine="709"/>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4.2.1 При проведении поверки применяют средства поверки и вспомогательное оборудование, указанные в таблице 4.2.</w:t>
      </w:r>
    </w:p>
    <w:p>
      <w:pPr>
        <w:pStyle w:val="Normal"/>
        <w:widowControl w:val="false"/>
        <w:spacing w:lineRule="auto" w:line="240" w:before="0" w:after="0"/>
        <w:ind w:left="-142" w:firstLine="709"/>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Таблица 4.2 — Средства поверки и вспомогательное оборудование</w:t>
      </w:r>
    </w:p>
    <w:tbl>
      <w:tblPr>
        <w:tblW w:w="9720" w:type="dxa"/>
        <w:jc w:val="center"/>
        <w:tblInd w:w="0" w:type="dxa"/>
        <w:tblLayout w:type="fixed"/>
        <w:tblCellMar>
          <w:top w:w="0" w:type="dxa"/>
          <w:left w:w="10" w:type="dxa"/>
          <w:bottom w:w="0" w:type="dxa"/>
          <w:right w:w="10" w:type="dxa"/>
        </w:tblCellMar>
        <w:tblLook w:val="0000" w:noHBand="0" w:noVBand="0" w:firstColumn="0" w:lastRow="0" w:lastColumn="0" w:firstRow="0"/>
      </w:tblPr>
      <w:tblGrid>
        <w:gridCol w:w="2581"/>
        <w:gridCol w:w="4254"/>
        <w:gridCol w:w="2885"/>
      </w:tblGrid>
      <w:tr>
        <w:trPr>
          <w:trHeight w:val="809" w:hRule="exact"/>
        </w:trPr>
        <w:tc>
          <w:tcPr>
            <w:tcW w:w="258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Операции поверки, требующие применение средств поверки</w:t>
            </w:r>
          </w:p>
        </w:tc>
        <w:tc>
          <w:tcPr>
            <w:tcW w:w="42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Метрологические и технические требования к средствам поверки, необходимые для проведения поверки</w:t>
            </w:r>
          </w:p>
        </w:tc>
        <w:tc>
          <w:tcPr>
            <w:tcW w:w="28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Перечень рекомендуемых средств поверки</w:t>
            </w:r>
          </w:p>
        </w:tc>
      </w:tr>
      <w:tr>
        <w:trPr>
          <w:trHeight w:val="3571" w:hRule="exact"/>
        </w:trPr>
        <w:tc>
          <w:tcPr>
            <w:tcW w:w="258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8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 4.5</w:t>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Контроль условий проведения поверки</w:t>
            </w:r>
          </w:p>
          <w:p>
            <w:pPr>
              <w:pStyle w:val="Normal"/>
              <w:widowControl w:val="false"/>
              <w:rPr>
                <w:rFonts w:ascii="Arial" w:hAnsi="Arial" w:eastAsia="Times New Roman" w:cs="Arial"/>
                <w:sz w:val="20"/>
                <w:szCs w:val="20"/>
                <w:lang w:eastAsia="ru-RU" w:bidi="ru-RU"/>
              </w:rPr>
            </w:pPr>
            <w:r>
              <w:rPr>
                <w:rFonts w:eastAsia="Times New Roman" w:cs="Arial" w:ascii="Arial" w:hAnsi="Arial"/>
                <w:sz w:val="20"/>
                <w:szCs w:val="20"/>
                <w:lang w:eastAsia="ru-RU" w:bidi="ru-RU"/>
              </w:rPr>
            </w:r>
          </w:p>
          <w:p>
            <w:pPr>
              <w:pStyle w:val="Normal"/>
              <w:widowControl w:val="false"/>
              <w:rPr>
                <w:rFonts w:ascii="Arial" w:hAnsi="Arial" w:eastAsia="Times New Roman" w:cs="Arial"/>
                <w:sz w:val="20"/>
                <w:szCs w:val="20"/>
                <w:lang w:eastAsia="ru-RU" w:bidi="ru-RU"/>
              </w:rPr>
            </w:pPr>
            <w:r>
              <w:rPr>
                <w:rFonts w:eastAsia="Times New Roman" w:cs="Arial" w:ascii="Arial" w:hAnsi="Arial"/>
                <w:sz w:val="20"/>
                <w:szCs w:val="20"/>
                <w:lang w:eastAsia="ru-RU" w:bidi="ru-RU"/>
              </w:rPr>
            </w:r>
          </w:p>
          <w:p>
            <w:pPr>
              <w:pStyle w:val="Normal"/>
              <w:widowControl w:val="false"/>
              <w:rPr>
                <w:rFonts w:ascii="Arial" w:hAnsi="Arial" w:eastAsia="Times New Roman" w:cs="Arial"/>
                <w:sz w:val="20"/>
                <w:szCs w:val="20"/>
                <w:lang w:eastAsia="ru-RU" w:bidi="ru-RU"/>
              </w:rPr>
            </w:pPr>
            <w:r>
              <w:rPr>
                <w:rFonts w:eastAsia="Times New Roman" w:cs="Arial" w:ascii="Arial" w:hAnsi="Arial"/>
                <w:sz w:val="20"/>
                <w:szCs w:val="20"/>
                <w:lang w:eastAsia="ru-RU" w:bidi="ru-RU"/>
              </w:rPr>
            </w:r>
          </w:p>
          <w:p>
            <w:pPr>
              <w:pStyle w:val="Normal"/>
              <w:widowControl w:val="false"/>
              <w:rPr>
                <w:rFonts w:ascii="Arial" w:hAnsi="Arial" w:eastAsia="Times New Roman" w:cs="Arial"/>
                <w:sz w:val="20"/>
                <w:szCs w:val="20"/>
                <w:lang w:eastAsia="ru-RU" w:bidi="ru-RU"/>
              </w:rPr>
            </w:pPr>
            <w:r>
              <w:rPr>
                <w:rFonts w:eastAsia="Times New Roman" w:cs="Arial" w:ascii="Arial" w:hAnsi="Arial"/>
                <w:sz w:val="20"/>
                <w:szCs w:val="20"/>
                <w:lang w:eastAsia="ru-RU" w:bidi="ru-RU"/>
              </w:rPr>
            </w:r>
          </w:p>
          <w:p>
            <w:pPr>
              <w:pStyle w:val="Normal"/>
              <w:widowControl w:val="false"/>
              <w:rPr>
                <w:rFonts w:ascii="Arial" w:hAnsi="Arial" w:eastAsia="Times New Roman" w:cs="Arial"/>
                <w:sz w:val="20"/>
                <w:szCs w:val="20"/>
                <w:lang w:eastAsia="ru-RU" w:bidi="ru-RU"/>
              </w:rPr>
            </w:pPr>
            <w:r>
              <w:rPr>
                <w:rFonts w:eastAsia="Times New Roman" w:cs="Arial" w:ascii="Arial" w:hAnsi="Arial"/>
                <w:sz w:val="20"/>
                <w:szCs w:val="20"/>
                <w:lang w:eastAsia="ru-RU" w:bidi="ru-RU"/>
              </w:rPr>
            </w:r>
          </w:p>
          <w:p>
            <w:pPr>
              <w:pStyle w:val="Normal"/>
              <w:widowControl w:val="false"/>
              <w:rPr>
                <w:rFonts w:ascii="Arial" w:hAnsi="Arial" w:eastAsia="Times New Roman" w:cs="Arial"/>
                <w:sz w:val="20"/>
                <w:szCs w:val="20"/>
                <w:lang w:eastAsia="ru-RU" w:bidi="ru-RU"/>
              </w:rPr>
            </w:pPr>
            <w:r>
              <w:rPr>
                <w:rFonts w:eastAsia="Times New Roman" w:cs="Arial" w:ascii="Arial" w:hAnsi="Arial"/>
                <w:sz w:val="20"/>
                <w:szCs w:val="20"/>
                <w:lang w:eastAsia="ru-RU" w:bidi="ru-RU"/>
              </w:rPr>
            </w:r>
          </w:p>
          <w:p>
            <w:pPr>
              <w:pStyle w:val="Normal"/>
              <w:widowControl w:val="false"/>
              <w:rPr>
                <w:rFonts w:ascii="Arial" w:hAnsi="Arial" w:eastAsia="Times New Roman" w:cs="Arial"/>
                <w:sz w:val="20"/>
                <w:szCs w:val="20"/>
                <w:lang w:eastAsia="ru-RU" w:bidi="ru-RU"/>
              </w:rPr>
            </w:pPr>
            <w:r>
              <w:rPr>
                <w:rFonts w:eastAsia="Times New Roman" w:cs="Arial" w:ascii="Arial" w:hAnsi="Arial"/>
                <w:sz w:val="20"/>
                <w:szCs w:val="20"/>
                <w:lang w:eastAsia="ru-RU" w:bidi="ru-RU"/>
              </w:rPr>
            </w:r>
          </w:p>
          <w:p>
            <w:pPr>
              <w:pStyle w:val="Normal"/>
              <w:widowControl w:val="false"/>
              <w:spacing w:before="0" w:after="160"/>
              <w:rPr>
                <w:rFonts w:ascii="Arial" w:hAnsi="Arial" w:eastAsia="Times New Roman" w:cs="Arial"/>
                <w:sz w:val="20"/>
                <w:szCs w:val="20"/>
                <w:lang w:eastAsia="ru-RU" w:bidi="ru-RU"/>
              </w:rPr>
            </w:pPr>
            <w:r>
              <w:rPr>
                <w:rFonts w:eastAsia="Times New Roman" w:cs="Arial" w:ascii="Arial" w:hAnsi="Arial"/>
                <w:sz w:val="20"/>
                <w:szCs w:val="20"/>
                <w:lang w:eastAsia="ru-RU" w:bidi="ru-RU"/>
              </w:rPr>
            </w:r>
          </w:p>
        </w:tc>
        <w:tc>
          <w:tcPr>
            <w:tcW w:w="425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Средства измерений относительной влажности воздуха в диапазоне от 0 % до 80 % с абсолютной погрешностью не более 3 %.</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Средства измерений температуры окружающей среды в диапазоне измерений от 17 °C до 27 °C с абсолютной погрешностью не более ±0,5 °C.</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Средства измерений атмосферного давления в диапазоне от 86 до 106 кПа с абсолютной погрешностью не более ±0,5 кПа</w:t>
            </w:r>
          </w:p>
        </w:tc>
        <w:tc>
          <w:tcPr>
            <w:tcW w:w="28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xml:space="preserve">Термогигрометр ИВА-6Н-Д </w:t>
            </w:r>
          </w:p>
        </w:tc>
      </w:tr>
      <w:tr>
        <w:trPr>
          <w:trHeight w:val="3895" w:hRule="exact"/>
        </w:trPr>
        <w:tc>
          <w:tcPr>
            <w:tcW w:w="258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 4.7.4</w:t>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диапазона измерения длин волн и основной абсолютной погрешности измерения длин волн</w:t>
            </w:r>
          </w:p>
        </w:tc>
        <w:tc>
          <w:tcPr>
            <w:tcW w:w="425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Длины волн лазерных источников излучений, нм: 1310 ± 10; 1550+ 10; 1625 ± 10.</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Ширина спектра по уровню 0,5 (для 1550 нм) не более 1 пм.</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Средняя мощность оптического излучения не менее 1 мВт.</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Характеристики источника излучения на основе суперлюминесцентного диода и газонаполненной кюветы с ацетиленом (входят в состав рабочего эталона):</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средняя мощность оптического излучения не менее 50 мкВт;</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рабочий спектральный диапазон линий поглощения 1510—1540 нм.</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xml:space="preserve">Относительная погрешность определения длин волн не более 5 </w:t>
            </w:r>
            <w:r>
              <w:rPr>
                <w:rFonts w:cs="Arial" w:ascii="Arial" w:hAnsi="Arial"/>
                <w:color w:val="040C28"/>
                <w:sz w:val="30"/>
                <w:szCs w:val="30"/>
              </w:rPr>
              <w:t>∙</w:t>
            </w:r>
            <w:r>
              <w:rPr>
                <w:rFonts w:eastAsia="Times New Roman" w:cs="Arial" w:ascii="Arial" w:hAnsi="Arial"/>
                <w:color w:val="2E2C2F"/>
                <w:sz w:val="20"/>
                <w:szCs w:val="20"/>
                <w:lang w:eastAsia="ru-RU" w:bidi="ru-RU"/>
              </w:rPr>
              <w:t>10</w:t>
            </w:r>
            <w:r>
              <w:rPr>
                <w:rFonts w:eastAsia="Times New Roman" w:cs="Arial" w:ascii="Arial" w:hAnsi="Arial"/>
                <w:color w:val="2E2C2F"/>
                <w:sz w:val="20"/>
                <w:szCs w:val="20"/>
                <w:vertAlign w:val="superscript"/>
                <w:lang w:eastAsia="ru-RU" w:bidi="ru-RU"/>
              </w:rPr>
              <w:t>-6</w:t>
            </w:r>
            <w:r>
              <w:rPr>
                <w:rFonts w:eastAsia="Times New Roman" w:cs="Arial" w:ascii="Arial" w:hAnsi="Arial"/>
                <w:color w:val="2E2C2F"/>
                <w:sz w:val="20"/>
                <w:szCs w:val="20"/>
                <w:lang w:eastAsia="ru-RU" w:bidi="ru-RU"/>
              </w:rPr>
              <w:t xml:space="preserve"> отн.ед.</w:t>
            </w:r>
          </w:p>
        </w:tc>
        <w:tc>
          <w:tcPr>
            <w:tcW w:w="28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12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Рабочий эталон единицы длины волны оптического излучения для волоконно-оптических систем связи и передачи информации (РЭ ДВ)</w:t>
            </w:r>
          </w:p>
        </w:tc>
      </w:tr>
      <w:tr>
        <w:trPr>
          <w:trHeight w:val="2135" w:hRule="exact"/>
        </w:trPr>
        <w:tc>
          <w:tcPr>
            <w:tcW w:w="258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 4.7.5</w:t>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динамического диапазона и основной абсолютной погрешности измерения средней мощности излучения</w:t>
            </w:r>
          </w:p>
        </w:tc>
        <w:tc>
          <w:tcPr>
            <w:tcW w:w="425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Диапазон измеряемых значений средней мощности оптического излучения 10</w:t>
            </w:r>
            <w:r>
              <w:rPr>
                <w:rFonts w:eastAsia="Times New Roman" w:cs="Arial" w:ascii="Arial" w:hAnsi="Arial"/>
                <w:color w:val="2E2C2F"/>
                <w:sz w:val="20"/>
                <w:szCs w:val="20"/>
                <w:vertAlign w:val="superscript"/>
                <w:lang w:eastAsia="ru-RU" w:bidi="ru-RU"/>
              </w:rPr>
              <w:t>-10</w:t>
            </w:r>
            <w:r>
              <w:rPr>
                <w:rFonts w:eastAsia="Times New Roman" w:cs="Arial" w:ascii="Arial" w:hAnsi="Arial"/>
                <w:color w:val="2E2C2F"/>
                <w:sz w:val="20"/>
                <w:szCs w:val="20"/>
                <w:lang w:eastAsia="ru-RU" w:bidi="ru-RU"/>
              </w:rPr>
              <w:t xml:space="preserve"> — 10</w:t>
            </w:r>
            <w:r>
              <w:rPr>
                <w:rFonts w:eastAsia="Times New Roman" w:cs="Arial" w:ascii="Arial" w:hAnsi="Arial"/>
                <w:color w:val="2E2C2F"/>
                <w:sz w:val="20"/>
                <w:szCs w:val="20"/>
                <w:vertAlign w:val="superscript"/>
                <w:lang w:eastAsia="ru-RU" w:bidi="ru-RU"/>
              </w:rPr>
              <w:t xml:space="preserve">-2 </w:t>
            </w:r>
            <w:r>
              <w:rPr>
                <w:rFonts w:eastAsia="Times New Roman" w:cs="Arial" w:ascii="Arial" w:hAnsi="Arial"/>
                <w:color w:val="2E2C2F"/>
                <w:sz w:val="20"/>
                <w:szCs w:val="20"/>
                <w:lang w:eastAsia="ru-RU" w:bidi="ru-RU"/>
              </w:rPr>
              <w:t>Вт.</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Диапазоны длин волн измеряемого излучения, нм: 800—900; 1250—1350; 1500—1700.</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Предел допускаемого значения основной относительной погрешности измерения 2,5 % — 5 %</w:t>
            </w:r>
          </w:p>
        </w:tc>
        <w:tc>
          <w:tcPr>
            <w:tcW w:w="28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8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Рабочий эталон единицы средней мощности для волоконно-оптических систем связи и передачи информации (РЭСМ-В)</w:t>
            </w:r>
          </w:p>
        </w:tc>
      </w:tr>
      <w:tr>
        <w:trPr>
          <w:trHeight w:val="3823" w:hRule="exact"/>
        </w:trPr>
        <w:tc>
          <w:tcPr>
            <w:tcW w:w="258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 4.7.6</w:t>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разрешения по шкале длин волн</w:t>
            </w:r>
          </w:p>
        </w:tc>
        <w:tc>
          <w:tcPr>
            <w:tcW w:w="42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Длины волн лазерных источников излучений, нм: 1310 ± 10; 1550+ 10; 1625 ± 10.</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Ширина спектра по уровню 0,5 (для 1550 нм) не более 1 пм.</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Средняя мощность оптического излучения не менее 1 мВт.</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Характеристики источника излучения на основе суперлюминесцентного диода и газонаполненной кюветы с ацетиленом (входят в состав рабочего эталона):</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средняя мощность оптического излучения не менее 50 мкВт;</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рабочий спектральный диапазон линий поглощения 1510—1540 нм.</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xml:space="preserve">Относительная погрешность определения длин волн не более 5 </w:t>
            </w:r>
            <w:r>
              <w:rPr>
                <w:rFonts w:cs="Arial" w:ascii="Arial" w:hAnsi="Arial"/>
                <w:color w:val="040C28"/>
                <w:sz w:val="30"/>
                <w:szCs w:val="30"/>
              </w:rPr>
              <w:t>∙</w:t>
            </w:r>
            <w:r>
              <w:rPr>
                <w:rFonts w:eastAsia="Times New Roman" w:cs="Arial" w:ascii="Arial" w:hAnsi="Arial"/>
                <w:color w:val="2E2C2F"/>
                <w:sz w:val="20"/>
                <w:szCs w:val="20"/>
                <w:lang w:eastAsia="ru-RU" w:bidi="ru-RU"/>
              </w:rPr>
              <w:t>10</w:t>
            </w:r>
            <w:r>
              <w:rPr>
                <w:rFonts w:eastAsia="Times New Roman" w:cs="Arial" w:ascii="Arial" w:hAnsi="Arial"/>
                <w:color w:val="2E2C2F"/>
                <w:sz w:val="20"/>
                <w:szCs w:val="20"/>
                <w:vertAlign w:val="superscript"/>
                <w:lang w:eastAsia="ru-RU" w:bidi="ru-RU"/>
              </w:rPr>
              <w:t>-6</w:t>
            </w:r>
            <w:r>
              <w:rPr>
                <w:rFonts w:eastAsia="Times New Roman" w:cs="Arial" w:ascii="Arial" w:hAnsi="Arial"/>
                <w:color w:val="2E2C2F"/>
                <w:sz w:val="20"/>
                <w:szCs w:val="20"/>
                <w:lang w:eastAsia="ru-RU" w:bidi="ru-RU"/>
              </w:rPr>
              <w:t xml:space="preserve"> отн.ед.</w:t>
            </w:r>
          </w:p>
        </w:tc>
        <w:tc>
          <w:tcPr>
            <w:tcW w:w="28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8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Рабочий эталон единицы длины волны оптического излучения для волоконно-оптических систем связи и передачи информации (РЭ ДВ)</w:t>
            </w:r>
          </w:p>
        </w:tc>
      </w:tr>
      <w:tr>
        <w:trPr>
          <w:trHeight w:val="859" w:hRule="exact"/>
        </w:trPr>
        <w:tc>
          <w:tcPr>
            <w:tcW w:w="972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8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Допускается использовать при поверке другие утвержденные и аттестованные эталоны единиц величин, средства измерений утвержденного типа, удовлетворяющие указанным метрологическим требованиям.</w:t>
            </w:r>
          </w:p>
        </w:tc>
      </w:tr>
    </w:tbl>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numPr>
          <w:ilvl w:val="1"/>
          <w:numId w:val="7"/>
        </w:numPr>
        <w:spacing w:lineRule="auto" w:line="240" w:before="0" w:after="120"/>
        <w:ind w:left="284" w:right="-271" w:firstLine="142"/>
        <w:rPr>
          <w:rFonts w:ascii="Arial" w:hAnsi="Arial" w:eastAsia="Arial" w:cs="Arial"/>
          <w:b/>
          <w:b/>
          <w:bCs/>
          <w:color w:val="auto"/>
          <w:spacing w:val="-1"/>
          <w:sz w:val="20"/>
          <w:szCs w:val="20"/>
        </w:rPr>
      </w:pPr>
      <w:r>
        <w:rPr>
          <w:rFonts w:eastAsia="Arial" w:cs="Arial" w:ascii="Arial" w:hAnsi="Arial"/>
          <w:b/>
          <w:bCs/>
          <w:color w:val="auto"/>
          <w:spacing w:val="-1"/>
          <w:sz w:val="20"/>
          <w:szCs w:val="20"/>
        </w:rPr>
        <w:t xml:space="preserve"> </w:t>
      </w:r>
      <w:r>
        <w:rPr>
          <w:rFonts w:eastAsia="Arial" w:cs="Arial" w:ascii="Arial" w:hAnsi="Arial"/>
          <w:b/>
          <w:bCs/>
          <w:color w:val="auto"/>
          <w:spacing w:val="-1"/>
          <w:sz w:val="20"/>
          <w:szCs w:val="20"/>
        </w:rPr>
        <w:t>Требования к квалификации поверителей</w:t>
      </w:r>
    </w:p>
    <w:p>
      <w:pPr>
        <w:pStyle w:val="Normal"/>
        <w:widowControl w:val="false"/>
        <w:spacing w:lineRule="auto" w:line="240" w:before="0" w:after="80"/>
        <w:ind w:left="-142" w:right="-271" w:firstLine="568"/>
        <w:jc w:val="both"/>
        <w:rPr>
          <w:rFonts w:ascii="Arial" w:hAnsi="Arial" w:eastAsia="Arial" w:cs="Arial"/>
          <w:sz w:val="20"/>
          <w:szCs w:val="20"/>
          <w:lang w:eastAsia="ru-RU" w:bidi="ru-RU"/>
        </w:rPr>
      </w:pPr>
      <w:r>
        <w:rPr>
          <w:rFonts w:eastAsia="Arial" w:cs="Arial" w:ascii="Arial" w:hAnsi="Arial"/>
          <w:sz w:val="20"/>
          <w:szCs w:val="20"/>
          <w:lang w:eastAsia="ru-RU" w:bidi="ru-RU"/>
        </w:rPr>
        <w:t>К проведению поверки допускаются лица, изучившие настоящий стандарт, эксплуатационную документацию на средства поверки, вспомогательное оборудование и поверяемые анализаторы спектра.</w:t>
      </w:r>
    </w:p>
    <w:p>
      <w:pPr>
        <w:pStyle w:val="Normal"/>
        <w:widowControl w:val="false"/>
        <w:spacing w:lineRule="auto" w:line="240" w:before="0" w:after="0"/>
        <w:ind w:left="-142" w:right="-271" w:firstLine="568"/>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spacing w:lineRule="auto" w:line="240" w:before="0" w:after="0"/>
        <w:ind w:left="567" w:right="-271" w:hanging="298"/>
        <w:rPr>
          <w:rFonts w:ascii="Arial" w:hAnsi="Arial" w:eastAsia="Arial" w:cs="Arial"/>
          <w:b/>
          <w:b/>
          <w:bCs/>
          <w:color w:val="auto"/>
          <w:spacing w:val="-1"/>
          <w:sz w:val="20"/>
          <w:szCs w:val="20"/>
        </w:rPr>
      </w:pPr>
      <w:r>
        <w:rPr>
          <w:rFonts w:eastAsia="Arial" w:cs="Arial" w:ascii="Arial" w:hAnsi="Arial"/>
          <w:b/>
          <w:bCs/>
          <w:color w:val="auto"/>
          <w:spacing w:val="-1"/>
          <w:sz w:val="20"/>
          <w:szCs w:val="20"/>
        </w:rPr>
        <w:t>4.4 Требования безопасности</w:t>
      </w:r>
    </w:p>
    <w:p>
      <w:pPr>
        <w:pStyle w:val="Normal"/>
        <w:spacing w:lineRule="auto" w:line="240" w:before="0" w:after="0"/>
        <w:ind w:left="-142" w:right="-271" w:firstLine="568"/>
        <w:rPr>
          <w:rFonts w:ascii="Arial" w:hAnsi="Arial" w:cs="Arial"/>
          <w:sz w:val="20"/>
          <w:szCs w:val="20"/>
        </w:rPr>
      </w:pPr>
      <w:r>
        <w:rPr>
          <w:rFonts w:cs="Arial" w:ascii="Arial" w:hAnsi="Arial"/>
          <w:sz w:val="20"/>
          <w:szCs w:val="20"/>
        </w:rPr>
      </w:r>
    </w:p>
    <w:p>
      <w:pPr>
        <w:pStyle w:val="Normal"/>
        <w:widowControl w:val="false"/>
        <w:spacing w:lineRule="auto" w:line="240" w:before="0" w:after="0"/>
        <w:ind w:left="-142" w:right="-271" w:firstLine="568"/>
        <w:jc w:val="both"/>
        <w:rPr>
          <w:rFonts w:ascii="Arial" w:hAnsi="Arial" w:eastAsia="Arial" w:cs="Arial"/>
          <w:sz w:val="20"/>
          <w:szCs w:val="20"/>
          <w:lang w:eastAsia="ru-RU" w:bidi="ru-RU"/>
        </w:rPr>
      </w:pPr>
      <w:r>
        <w:rPr>
          <w:rFonts w:eastAsia="Arial" w:cs="Arial" w:ascii="Arial" w:hAnsi="Arial"/>
          <w:sz w:val="20"/>
          <w:szCs w:val="20"/>
          <w:lang w:eastAsia="ru-RU" w:bidi="ru-RU"/>
        </w:rPr>
        <w:t>4.4.1 Лица, выполняющие поверку, должны быть ознакомлены с правилами безопасности при работе с анализатором спектра, указанными в эксплуатационной документации на него, средством поверки, а также соблюдать требования нормативных правовых актов по обеспечению безопасности труда, производственной санитарии и охраны окружающей среды.</w:t>
      </w:r>
    </w:p>
    <w:p>
      <w:pPr>
        <w:pStyle w:val="Normal"/>
        <w:widowControl w:val="false"/>
        <w:spacing w:lineRule="auto" w:line="240" w:before="0" w:after="80"/>
        <w:ind w:left="440" w:right="-271" w:firstLine="426"/>
        <w:jc w:val="both"/>
        <w:rPr>
          <w:rFonts w:ascii="Arial" w:hAnsi="Arial" w:eastAsia="Arial" w:cs="Arial"/>
          <w:sz w:val="20"/>
          <w:szCs w:val="20"/>
          <w:lang w:eastAsia="ru-RU" w:bidi="ru-RU"/>
        </w:rPr>
      </w:pPr>
      <w:r>
        <w:rPr>
          <w:rFonts w:eastAsia="Arial" w:cs="Arial" w:ascii="Arial" w:hAnsi="Arial"/>
          <w:sz w:val="20"/>
          <w:szCs w:val="20"/>
          <w:lang w:eastAsia="ru-RU" w:bidi="ru-RU"/>
        </w:rPr>
        <w:t>4.4.2</w:t>
        <w:tab/>
        <w:t>К проведению поверки допускают лиц не моложе 18 лет, аттестованных в качестве поверителей, прошедших инструктаж по охране труда, обучение и аттестацию относительно работы с лазерами и аттестацию на право работы с электроустановками напряжением до 1000 В, имеющих квалификационную группу по электробезопасности не ниже 3-й и изучивших настоящие рекомендации и эксплуатационную документацию на анализаторы спектра и средства их поверки.</w:t>
      </w:r>
    </w:p>
    <w:p>
      <w:pPr>
        <w:pStyle w:val="Normal"/>
        <w:widowControl w:val="false"/>
        <w:spacing w:lineRule="auto" w:line="240" w:before="0" w:after="80"/>
        <w:ind w:left="440" w:right="-271"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4.4.3</w:t>
        <w:tab/>
        <w:t>При проведении поверки соблюдают требования, установленные правилами [1], [2], [3]. При работе с лазерами соблюдают требования ГОСТ 12.1.040 и правил [4].</w:t>
      </w:r>
    </w:p>
    <w:p>
      <w:pPr>
        <w:pStyle w:val="Normal"/>
        <w:widowControl w:val="false"/>
        <w:spacing w:lineRule="auto" w:line="240" w:before="0" w:after="80"/>
        <w:ind w:left="440" w:right="-271"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4.4.5 Средства поверки, подключенные к электрической сети питания, должны быть заземлены.</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4.4.6 Во время подготовки и проведения поверки должны выполняться:</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требования техники безопасности для защиты персонала от поражения электрическим током согласно действующих Правил по охране труда при эксплуатации электроустановок;</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указания по технике безопасности, приведенные в эксплуатационной документации на эталоны и средства поверки;</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указания по технике безопасности, приведенные в руководстве по эксплуатации поверяемых СИ;</w:t>
      </w:r>
    </w:p>
    <w:p>
      <w:pPr>
        <w:pStyle w:val="Normal"/>
        <w:widowControl w:val="false"/>
        <w:spacing w:lineRule="auto" w:line="240" w:before="0" w:after="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при работе должны соблюдаться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pPr>
        <w:pStyle w:val="Normal"/>
        <w:widowControl w:val="false"/>
        <w:spacing w:lineRule="auto" w:line="240" w:before="0" w:after="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4.4.7</w:t>
        <w:tab/>
        <w:t>Средства поверки, вспомогательные средства поверки и оборудование должны соответствовать требованиям безопасности, изложенным в их эксплуатационной документации.</w:t>
      </w:r>
    </w:p>
    <w:p>
      <w:pPr>
        <w:pStyle w:val="Normal"/>
        <w:widowControl w:val="false"/>
        <w:spacing w:lineRule="auto" w:line="240" w:before="0" w:after="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spacing w:lineRule="auto" w:line="240" w:before="0" w:after="0"/>
        <w:ind w:left="851" w:hanging="284"/>
        <w:rPr>
          <w:rFonts w:ascii="Arial" w:hAnsi="Arial" w:eastAsia="Arial" w:cs="Arial"/>
          <w:b/>
          <w:b/>
          <w:bCs/>
          <w:color w:val="auto"/>
          <w:spacing w:val="-1"/>
          <w:sz w:val="20"/>
          <w:szCs w:val="20"/>
        </w:rPr>
      </w:pPr>
      <w:r>
        <w:rPr>
          <w:rFonts w:eastAsia="Arial" w:cs="Arial" w:ascii="Arial" w:hAnsi="Arial"/>
          <w:b/>
          <w:bCs/>
          <w:color w:val="auto"/>
          <w:spacing w:val="-1"/>
          <w:sz w:val="20"/>
          <w:szCs w:val="20"/>
        </w:rPr>
        <w:t>4.5 Требования к условиям проведения поверки</w:t>
      </w:r>
    </w:p>
    <w:p>
      <w:pPr>
        <w:pStyle w:val="Normal"/>
        <w:spacing w:lineRule="auto" w:line="240"/>
        <w:rPr>
          <w:rFonts w:ascii="Arial" w:hAnsi="Arial" w:cs="Arial"/>
          <w:sz w:val="20"/>
          <w:szCs w:val="20"/>
        </w:rPr>
      </w:pPr>
      <w:r>
        <w:rPr>
          <w:rFonts w:cs="Arial" w:ascii="Arial" w:hAnsi="Arial"/>
          <w:sz w:val="20"/>
          <w:szCs w:val="20"/>
        </w:rPr>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При проведении поверки должны быть соблюдены следующие условия, указанные в               таблице 4.5.</w:t>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Таблица 4.5 - Условия проведения поверки</w:t>
        <w:tab/>
        <w:tab/>
      </w:r>
    </w:p>
    <w:tbl>
      <w:tblPr>
        <w:tblW w:w="9356" w:type="dxa"/>
        <w:jc w:val="center"/>
        <w:tblInd w:w="0" w:type="dxa"/>
        <w:tblLayout w:type="fixed"/>
        <w:tblCellMar>
          <w:top w:w="0" w:type="dxa"/>
          <w:left w:w="10" w:type="dxa"/>
          <w:bottom w:w="0" w:type="dxa"/>
          <w:right w:w="10" w:type="dxa"/>
        </w:tblCellMar>
        <w:tblLook w:val="0000" w:noHBand="0" w:noVBand="0" w:firstColumn="0" w:lastRow="0" w:lastColumn="0" w:firstRow="0"/>
      </w:tblPr>
      <w:tblGrid>
        <w:gridCol w:w="6537"/>
        <w:gridCol w:w="2818"/>
      </w:tblGrid>
      <w:tr>
        <w:trPr>
          <w:trHeight w:val="322" w:hRule="exact"/>
        </w:trPr>
        <w:tc>
          <w:tcPr>
            <w:tcW w:w="6537"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ind w:left="1360" w:hanging="298"/>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Наименование влияющего фактора</w:t>
            </w:r>
          </w:p>
        </w:tc>
        <w:tc>
          <w:tcPr>
            <w:tcW w:w="2818"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auto" w:line="240" w:before="0" w:after="0"/>
              <w:ind w:left="440" w:firstLine="20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Допустимый диапазон</w:t>
            </w:r>
          </w:p>
        </w:tc>
      </w:tr>
      <w:tr>
        <w:trPr>
          <w:trHeight w:val="302" w:hRule="exact"/>
        </w:trPr>
        <w:tc>
          <w:tcPr>
            <w:tcW w:w="6537"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Температура окружающего воздуха, °C</w:t>
            </w:r>
          </w:p>
        </w:tc>
        <w:tc>
          <w:tcPr>
            <w:tcW w:w="2818"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auto" w:line="240" w:before="0" w:after="0"/>
              <w:ind w:left="440" w:firstLine="74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 15 до 25</w:t>
            </w:r>
          </w:p>
        </w:tc>
      </w:tr>
      <w:tr>
        <w:trPr>
          <w:trHeight w:val="293" w:hRule="exact"/>
        </w:trPr>
        <w:tc>
          <w:tcPr>
            <w:tcW w:w="6537"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Относительная влажность окружающего воздуха, %</w:t>
            </w:r>
          </w:p>
        </w:tc>
        <w:tc>
          <w:tcPr>
            <w:tcW w:w="2818"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auto" w:line="240" w:before="0" w:after="0"/>
              <w:ind w:left="440" w:firstLine="74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 50 до 80</w:t>
            </w:r>
          </w:p>
        </w:tc>
      </w:tr>
      <w:tr>
        <w:trPr>
          <w:trHeight w:val="331" w:hRule="exact"/>
        </w:trPr>
        <w:tc>
          <w:tcPr>
            <w:tcW w:w="65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Атмосферное давление, кПа</w:t>
            </w:r>
          </w:p>
        </w:tc>
        <w:tc>
          <w:tcPr>
            <w:tcW w:w="28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440" w:firstLine="74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 96 до 104</w:t>
            </w:r>
          </w:p>
        </w:tc>
      </w:tr>
      <w:tr>
        <w:trPr>
          <w:trHeight w:val="331" w:hRule="exact"/>
        </w:trPr>
        <w:tc>
          <w:tcPr>
            <w:tcW w:w="65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Напряжение и частота питающей сети</w:t>
            </w:r>
          </w:p>
        </w:tc>
        <w:tc>
          <w:tcPr>
            <w:tcW w:w="28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(220 ± 22) В; (50 ± 0,5) Гц</w:t>
            </w:r>
          </w:p>
        </w:tc>
      </w:tr>
    </w:tbl>
    <w:p>
      <w:pPr>
        <w:pStyle w:val="Normal"/>
        <w:widowControl w:val="false"/>
        <w:spacing w:lineRule="auto" w:line="240" w:before="0" w:after="0"/>
        <w:ind w:left="440" w:firstLine="426"/>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numPr>
          <w:ilvl w:val="1"/>
          <w:numId w:val="8"/>
        </w:numPr>
        <w:spacing w:lineRule="auto" w:line="240" w:before="0" w:after="0"/>
        <w:ind w:left="851" w:hanging="284"/>
        <w:rPr>
          <w:rFonts w:ascii="Arial" w:hAnsi="Arial" w:eastAsia="Arial" w:cs="Arial"/>
          <w:b/>
          <w:b/>
          <w:bCs/>
          <w:color w:val="auto"/>
          <w:spacing w:val="-1"/>
          <w:sz w:val="20"/>
          <w:szCs w:val="20"/>
        </w:rPr>
      </w:pPr>
      <w:r>
        <w:rPr>
          <w:rFonts w:eastAsia="Arial" w:cs="Arial" w:ascii="Arial" w:hAnsi="Arial"/>
          <w:b/>
          <w:bCs/>
          <w:color w:val="auto"/>
          <w:spacing w:val="-1"/>
          <w:sz w:val="20"/>
          <w:szCs w:val="20"/>
        </w:rPr>
        <w:t xml:space="preserve"> </w:t>
      </w:r>
      <w:r>
        <w:rPr>
          <w:rFonts w:eastAsia="Arial" w:cs="Arial" w:ascii="Arial" w:hAnsi="Arial"/>
          <w:b/>
          <w:bCs/>
          <w:color w:val="auto"/>
          <w:spacing w:val="-1"/>
          <w:sz w:val="20"/>
          <w:szCs w:val="20"/>
        </w:rPr>
        <w:t>Подготовка к поверке</w:t>
      </w:r>
    </w:p>
    <w:p>
      <w:pPr>
        <w:pStyle w:val="Normal"/>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При подготовке к поверке выполняют следующие работы:</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4.6.1 Подготавливают к работе анализатор спектра и средства поверки в соответствии с их эксплуатационными документами;</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4.6.2 проверяют наименование, тип, модификацию, заводской номер и дату выпуска анализатора спектра на соответствие эксплуатационным документам, входящим в комплект средства измерений. </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4.6.3 анализатор спектра и средства поверки выдерживают в помещении, где выполняют поверку, не менее 2 ч;</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4.6.5 проверяют выполнение требований п. 4.2—4.5 настоящего стандарта</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С помощью соответствующих средств измерений выполняются измерения параметров окружающей среды в помещении для поверки и сравнивают их с требованиями раздела 4.5. В случае несоответствий, принимаются меры к их устранению.</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4.6.1 Перед проведением поверки протирают волоконно-оптический разъем и другие оптические детали анализатора спектра и средства поверки безворсовой хлопчатобумажной салфеткой, смоченной изопропанолом, а оптические разъемы продувают потоком сжатого воздуха.</w:t>
      </w:r>
    </w:p>
    <w:p>
      <w:pPr>
        <w:pStyle w:val="Normal"/>
        <w:widowControl w:val="false"/>
        <w:spacing w:lineRule="auto" w:line="240" w:before="0" w:after="8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numPr>
          <w:ilvl w:val="1"/>
          <w:numId w:val="8"/>
        </w:numPr>
        <w:spacing w:lineRule="auto" w:line="240" w:before="0" w:after="120"/>
        <w:ind w:left="851" w:hanging="284"/>
        <w:rPr>
          <w:rFonts w:ascii="Arial" w:hAnsi="Arial" w:eastAsia="Arial" w:cs="Arial"/>
          <w:b/>
          <w:b/>
          <w:bCs/>
          <w:color w:val="auto"/>
          <w:spacing w:val="-1"/>
          <w:sz w:val="20"/>
          <w:szCs w:val="20"/>
        </w:rPr>
      </w:pPr>
      <w:r>
        <w:rPr>
          <w:rFonts w:eastAsia="Arial" w:cs="Arial" w:ascii="Arial" w:hAnsi="Arial"/>
          <w:b/>
          <w:bCs/>
          <w:color w:val="auto"/>
          <w:spacing w:val="-1"/>
          <w:sz w:val="20"/>
          <w:szCs w:val="20"/>
        </w:rPr>
        <w:t xml:space="preserve"> </w:t>
      </w:r>
      <w:r>
        <w:rPr>
          <w:rFonts w:eastAsia="Arial" w:cs="Arial" w:ascii="Arial" w:hAnsi="Arial"/>
          <w:b/>
          <w:bCs/>
          <w:color w:val="auto"/>
          <w:spacing w:val="-1"/>
          <w:sz w:val="20"/>
          <w:szCs w:val="20"/>
        </w:rPr>
        <w:t>Проведение поверки</w:t>
      </w:r>
    </w:p>
    <w:p>
      <w:pPr>
        <w:pStyle w:val="Normal"/>
        <w:widowControl w:val="false"/>
        <w:spacing w:lineRule="auto" w:line="240" w:before="0" w:after="80"/>
        <w:ind w:left="440" w:firstLine="560"/>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4.7.1 Опробование</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Опробование проводится с целью проверки функционирования анализатора спектра. Включить анализатор спектра в соответствии с его эксплуатационной документацией. Установить готовность анализатора спектра к работе в указанный в эксплуатационной документации интервал времени. </w:t>
      </w:r>
    </w:p>
    <w:p>
      <w:pPr>
        <w:pStyle w:val="Normal"/>
        <w:widowControl w:val="false"/>
        <w:spacing w:lineRule="auto" w:line="240" w:before="0" w:after="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80"/>
        <w:ind w:left="440" w:firstLine="560"/>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4.7.2 Внешний осмотр</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При проведении внешнего осмотра должно быть установлено:</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отсутствие видимых повреждений и дефектов, влияющих на работоспособность анализатора спектра;</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w:t>
        <w:tab/>
        <w:t>исправность оптических разъемов;</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w:t>
        <w:tab/>
        <w:t>исправность органов управления.</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комплектность анализатора спектра должна соответствовать описанию типа средства измерений;</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все маркировки на анализаторе спектра должны быть хорошо видимыми и легкочитаемыми.</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80"/>
        <w:ind w:left="440" w:firstLine="560"/>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4.7.3 Подтверждение соответствия программного обеспечения</w:t>
      </w:r>
    </w:p>
    <w:p>
      <w:pPr>
        <w:pStyle w:val="Normal"/>
        <w:widowControl w:val="false"/>
        <w:spacing w:lineRule="auto" w:line="288" w:before="0" w:after="80"/>
        <w:ind w:left="440" w:firstLine="560"/>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t>Подтверждение соответствия программного обеспечения осуществляется в соответствии с указаниями эксплуатационной документации.</w:t>
      </w:r>
    </w:p>
    <w:p>
      <w:pPr>
        <w:pStyle w:val="Normal"/>
        <w:widowControl w:val="false"/>
        <w:spacing w:lineRule="auto" w:line="240" w:before="0" w:after="80"/>
        <w:ind w:left="440" w:firstLine="560"/>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r>
    </w:p>
    <w:p>
      <w:pPr>
        <w:pStyle w:val="Normal"/>
        <w:widowControl w:val="false"/>
        <w:spacing w:lineRule="auto" w:line="240" w:before="0" w:after="80"/>
        <w:ind w:left="440" w:firstLine="560"/>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4.7.4. Определение диапазона измерения длин волн и основной абсолютной погрешности измерения длин волн.</w:t>
      </w:r>
    </w:p>
    <w:p>
      <w:pPr>
        <w:pStyle w:val="ListParagraph"/>
        <w:widowControl w:val="false"/>
        <w:numPr>
          <w:ilvl w:val="3"/>
          <w:numId w:val="4"/>
        </w:numPr>
        <w:spacing w:lineRule="auto" w:line="240" w:before="0" w:after="80"/>
        <w:ind w:left="0" w:firstLine="567"/>
        <w:contextualSpacing w:val="false"/>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Определение диапазона измерения длин волн и основной абсолютной погрешности измере</w:t>
        <w:softHyphen/>
        <w:t>ния длин волн проводят методом прямых измерений, используя набор полупроводниковых лазеров и блок суперлюминесцентного диода с газонаполненной кюветой (далее — блок СЛД), входящие в состав РЭ ДВ.</w:t>
      </w:r>
    </w:p>
    <w:p>
      <w:pPr>
        <w:pStyle w:val="Normal"/>
        <w:widowControl w:val="false"/>
        <w:spacing w:lineRule="auto" w:line="240" w:before="0" w:after="120"/>
        <w:ind w:left="440" w:firstLine="567"/>
        <w:jc w:val="both"/>
        <w:rPr>
          <w:rFonts w:ascii="Arial" w:hAnsi="Arial" w:eastAsia="Arial" w:cs="Arial"/>
          <w:sz w:val="18"/>
          <w:szCs w:val="18"/>
          <w:lang w:eastAsia="ru-RU" w:bidi="ru-RU"/>
        </w:rPr>
      </w:pPr>
      <w:r>
        <w:rPr>
          <w:rFonts w:eastAsia="Arial" w:cs="Arial" w:ascii="Arial" w:hAnsi="Arial"/>
          <w:color w:val="000000"/>
          <w:sz w:val="18"/>
          <w:szCs w:val="18"/>
          <w:lang w:eastAsia="ru-RU" w:bidi="ru-RU"/>
        </w:rPr>
        <w:t>Примечание — Допускается применение модификации РЭ ДВ с набором газонаполненных кювет, обеспечивающих перекрытие рабочего спектрального диапазона.</w:t>
      </w:r>
    </w:p>
    <w:p>
      <w:pPr>
        <w:pStyle w:val="Normal"/>
        <w:widowControl w:val="false"/>
        <w:spacing w:lineRule="auto" w:line="240" w:before="0" w:after="0"/>
        <w:ind w:left="440" w:firstLine="567"/>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Соединяют оптическим кабелем выходной разъем блока СЛД и вход поверяемого анализатора спектра. Переводят переключатель на лицевой панели блока СЛД в положение «СЛД» и устанавливают диапазон сканирования поверяемого анализатора спектра 1510 — 1540 нм.</w:t>
      </w:r>
    </w:p>
    <w:p>
      <w:pPr>
        <w:pStyle w:val="ListParagraph"/>
        <w:widowControl w:val="false"/>
        <w:numPr>
          <w:ilvl w:val="3"/>
          <w:numId w:val="4"/>
        </w:numPr>
        <w:spacing w:lineRule="auto" w:line="240" w:before="0" w:after="0"/>
        <w:ind w:left="0" w:right="12" w:firstLine="567"/>
        <w:contextualSpacing/>
        <w:jc w:val="both"/>
        <w:rPr>
          <w:rFonts w:ascii="Arial" w:hAnsi="Arial" w:eastAsia="Arial" w:cs="Arial"/>
          <w:color w:val="000000"/>
          <w:sz w:val="20"/>
          <w:szCs w:val="20"/>
          <w:lang w:eastAsia="ru-RU" w:bidi="ru-RU"/>
        </w:rPr>
      </w:pPr>
      <w:bookmarkStart w:id="34" w:name="bookmark81"/>
      <w:bookmarkEnd w:id="34"/>
      <w:r>
        <w:rPr>
          <w:rFonts w:eastAsia="Arial" w:cs="Arial" w:ascii="Arial" w:hAnsi="Arial"/>
          <w:color w:val="000000"/>
          <w:sz w:val="20"/>
          <w:szCs w:val="20"/>
          <w:lang w:eastAsia="ru-RU" w:bidi="ru-RU"/>
        </w:rPr>
        <w:t xml:space="preserve">Нормируют шкалы анализатора спектра по максимуму сигнала и проводят серию / измерений, где </w:t>
      </w:r>
      <w:r>
        <w:rPr>
          <w:rFonts w:eastAsia="Arial" w:cs="Arial" w:ascii="Arial" w:hAnsi="Arial"/>
          <w:color w:val="000000"/>
          <w:sz w:val="20"/>
          <w:szCs w:val="20"/>
          <w:lang w:val="en-US" w:eastAsia="ru-RU" w:bidi="ru-RU"/>
        </w:rPr>
        <w:t>i</w:t>
      </w:r>
      <w:r>
        <w:rPr>
          <w:rFonts w:eastAsia="Arial" w:cs="Arial" w:ascii="Arial" w:hAnsi="Arial"/>
          <w:color w:val="000000"/>
          <w:sz w:val="20"/>
          <w:szCs w:val="20"/>
          <w:lang w:eastAsia="ru-RU" w:bidi="ru-RU"/>
        </w:rPr>
        <w:t xml:space="preserve"> ≥ 10 значений длин волн линий поглощения ацетилена </w:t>
      </w:r>
      <w:r>
        <w:rPr>
          <w:rFonts w:eastAsia="Arial" w:cs="Arial" w:ascii="Arial" w:hAnsi="Arial"/>
          <w:color w:val="000000"/>
          <w:sz w:val="20"/>
          <w:szCs w:val="20"/>
          <w:vertAlign w:val="superscript"/>
          <w:lang w:eastAsia="ru-RU" w:bidi="ru-RU"/>
        </w:rPr>
        <w:t>12</w:t>
      </w:r>
      <w:r>
        <w:rPr>
          <w:rFonts w:eastAsia="Arial" w:cs="Arial" w:ascii="Arial" w:hAnsi="Arial"/>
          <w:color w:val="000000"/>
          <w:sz w:val="20"/>
          <w:szCs w:val="20"/>
          <w:lang w:eastAsia="ru-RU" w:bidi="ru-RU"/>
        </w:rPr>
        <w:t>С</w:t>
      </w:r>
      <w:r>
        <w:rPr>
          <w:rFonts w:eastAsia="Arial" w:cs="Arial" w:ascii="Arial" w:hAnsi="Arial"/>
          <w:color w:val="000000"/>
          <w:sz w:val="20"/>
          <w:szCs w:val="20"/>
          <w:vertAlign w:val="subscript"/>
          <w:lang w:eastAsia="ru-RU" w:bidi="ru-RU"/>
        </w:rPr>
        <w:t>2</w:t>
      </w:r>
      <w:r>
        <w:rPr>
          <w:rFonts w:eastAsia="Arial" w:cs="Arial" w:ascii="Arial" w:hAnsi="Arial"/>
          <w:color w:val="000000"/>
          <w:sz w:val="20"/>
          <w:szCs w:val="20"/>
          <w:lang w:eastAsia="ru-RU" w:bidi="ru-RU"/>
        </w:rPr>
        <w:t>Н</w:t>
      </w:r>
      <w:r>
        <w:rPr>
          <w:rFonts w:eastAsia="Arial" w:cs="Arial" w:ascii="Arial" w:hAnsi="Arial"/>
          <w:color w:val="000000"/>
          <w:sz w:val="20"/>
          <w:szCs w:val="20"/>
          <w:vertAlign w:val="subscript"/>
          <w:lang w:eastAsia="ru-RU" w:bidi="ru-RU"/>
        </w:rPr>
        <w:t>2</w:t>
      </w:r>
      <w:r>
        <w:rPr>
          <w:rFonts w:eastAsia="Arial" w:cs="Arial" w:ascii="Arial" w:hAnsi="Arial"/>
          <w:color w:val="000000"/>
          <w:sz w:val="20"/>
          <w:szCs w:val="20"/>
          <w:lang w:eastAsia="ru-RU" w:bidi="ru-RU"/>
        </w:rPr>
        <w:t>, наполняющего кювету, с по</w:t>
        <w:softHyphen/>
        <w:t xml:space="preserve">мощью поверяемого анализатора спектра. Приведенные данные для </w:t>
      </w:r>
      <w:r>
        <w:rPr>
          <w:rFonts w:eastAsia="Arial" w:cs="Arial" w:ascii="Arial" w:hAnsi="Arial"/>
          <w:color w:val="000000"/>
          <w:sz w:val="20"/>
          <w:szCs w:val="20"/>
          <w:vertAlign w:val="superscript"/>
          <w:lang w:eastAsia="ru-RU" w:bidi="ru-RU"/>
        </w:rPr>
        <w:t>12</w:t>
      </w:r>
      <w:r>
        <w:rPr>
          <w:rFonts w:eastAsia="Arial" w:cs="Arial" w:ascii="Arial" w:hAnsi="Arial"/>
          <w:color w:val="000000"/>
          <w:sz w:val="20"/>
          <w:szCs w:val="20"/>
          <w:lang w:eastAsia="ru-RU" w:bidi="ru-RU"/>
        </w:rPr>
        <w:t>С</w:t>
      </w:r>
      <w:r>
        <w:rPr>
          <w:rFonts w:eastAsia="Arial" w:cs="Arial" w:ascii="Arial" w:hAnsi="Arial"/>
          <w:color w:val="000000"/>
          <w:sz w:val="20"/>
          <w:szCs w:val="20"/>
          <w:vertAlign w:val="subscript"/>
          <w:lang w:eastAsia="ru-RU" w:bidi="ru-RU"/>
        </w:rPr>
        <w:t>2</w:t>
      </w:r>
      <w:r>
        <w:rPr>
          <w:rFonts w:eastAsia="Arial" w:cs="Arial" w:ascii="Arial" w:hAnsi="Arial"/>
          <w:color w:val="000000"/>
          <w:sz w:val="20"/>
          <w:szCs w:val="20"/>
          <w:lang w:eastAsia="ru-RU" w:bidi="ru-RU"/>
        </w:rPr>
        <w:t>Н</w:t>
      </w:r>
      <w:r>
        <w:rPr>
          <w:rFonts w:eastAsia="Arial" w:cs="Arial" w:ascii="Arial" w:hAnsi="Arial"/>
          <w:color w:val="000000"/>
          <w:sz w:val="20"/>
          <w:szCs w:val="20"/>
          <w:vertAlign w:val="subscript"/>
          <w:lang w:eastAsia="ru-RU" w:bidi="ru-RU"/>
        </w:rPr>
        <w:t>2</w:t>
      </w:r>
      <w:r>
        <w:rPr>
          <w:rFonts w:eastAsia="Arial" w:cs="Arial" w:ascii="Arial" w:hAnsi="Arial"/>
          <w:color w:val="000000"/>
          <w:sz w:val="20"/>
          <w:szCs w:val="20"/>
          <w:lang w:eastAsia="ru-RU" w:bidi="ru-RU"/>
        </w:rPr>
        <w:t xml:space="preserve"> таблицы 4.3 соответствуют типовым значениям пиков поглощения ацетилена. Конкретные значения длин волн пиков поглощения ацетилена приводят в руководстве по эксплуатации РЭ ДВ. Результаты измерений вносят в таблицу 4.3.</w:t>
      </w:r>
    </w:p>
    <w:p>
      <w:pPr>
        <w:pStyle w:val="Normal"/>
        <w:widowControl w:val="false"/>
        <w:spacing w:lineRule="auto" w:line="240" w:before="0" w:after="0"/>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Таблица 4.3</w:t>
      </w:r>
    </w:p>
    <w:tbl>
      <w:tblPr>
        <w:tblW w:w="9478" w:type="dxa"/>
        <w:jc w:val="left"/>
        <w:tblInd w:w="0" w:type="dxa"/>
        <w:tblLayout w:type="fixed"/>
        <w:tblCellMar>
          <w:top w:w="0" w:type="dxa"/>
          <w:left w:w="10" w:type="dxa"/>
          <w:bottom w:w="0" w:type="dxa"/>
          <w:right w:w="10" w:type="dxa"/>
        </w:tblCellMar>
        <w:tblLook w:val="04a0" w:noHBand="0" w:noVBand="1" w:firstColumn="1" w:lastRow="0" w:lastColumn="0" w:firstRow="1"/>
      </w:tblPr>
      <w:tblGrid>
        <w:gridCol w:w="2122"/>
        <w:gridCol w:w="894"/>
        <w:gridCol w:w="890"/>
        <w:gridCol w:w="890"/>
        <w:gridCol w:w="2002"/>
        <w:gridCol w:w="890"/>
        <w:gridCol w:w="890"/>
        <w:gridCol w:w="898"/>
      </w:tblGrid>
      <w:tr>
        <w:trPr>
          <w:trHeight w:val="454" w:hRule="exact"/>
        </w:trPr>
        <w:tc>
          <w:tcPr>
            <w:tcW w:w="2122" w:type="dxa"/>
            <w:vMerge w:val="restart"/>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Arial" w:cs="Arial"/>
                <w:sz w:val="20"/>
                <w:szCs w:val="20"/>
                <w:lang w:eastAsia="ru-RU" w:bidi="ru-RU"/>
              </w:rPr>
            </w:pPr>
            <w:r>
              <w:rPr>
                <w:rFonts w:eastAsia="Arial" w:cs="Arial" w:ascii="Arial" w:hAnsi="Arial"/>
                <w:color w:val="000000"/>
                <w:sz w:val="20"/>
                <w:szCs w:val="20"/>
                <w:lang w:eastAsia="ru-RU" w:bidi="ru-RU"/>
              </w:rPr>
              <w:t xml:space="preserve">Значение длины волны линий поглощения ацетилена </w:t>
            </w:r>
            <w:r>
              <w:rPr>
                <w:rFonts w:eastAsia="Arial" w:cs="Arial" w:ascii="Arial" w:hAnsi="Arial"/>
                <w:color w:val="000000"/>
                <w:sz w:val="20"/>
                <w:szCs w:val="20"/>
                <w:vertAlign w:val="superscript"/>
                <w:lang w:eastAsia="ru-RU" w:bidi="ru-RU"/>
              </w:rPr>
              <w:t>12</w:t>
            </w:r>
            <w:r>
              <w:rPr>
                <w:rFonts w:eastAsia="Arial" w:cs="Arial" w:ascii="Arial" w:hAnsi="Arial"/>
                <w:color w:val="000000"/>
                <w:sz w:val="20"/>
                <w:szCs w:val="20"/>
                <w:lang w:eastAsia="ru-RU" w:bidi="ru-RU"/>
              </w:rPr>
              <w:t>С</w:t>
            </w:r>
            <w:r>
              <w:rPr>
                <w:rFonts w:eastAsia="Arial" w:cs="Arial" w:ascii="Arial" w:hAnsi="Arial"/>
                <w:color w:val="000000"/>
                <w:sz w:val="20"/>
                <w:szCs w:val="20"/>
                <w:vertAlign w:val="subscript"/>
                <w:lang w:eastAsia="ru-RU" w:bidi="ru-RU"/>
              </w:rPr>
              <w:t>2</w:t>
            </w:r>
            <w:r>
              <w:rPr>
                <w:rFonts w:eastAsia="Arial" w:cs="Arial" w:ascii="Arial" w:hAnsi="Arial"/>
                <w:color w:val="000000"/>
                <w:sz w:val="20"/>
                <w:szCs w:val="20"/>
                <w:lang w:eastAsia="ru-RU" w:bidi="ru-RU"/>
              </w:rPr>
              <w:t>Н</w:t>
            </w:r>
            <w:r>
              <w:rPr>
                <w:rFonts w:eastAsia="Arial" w:cs="Arial" w:ascii="Arial" w:hAnsi="Arial"/>
                <w:color w:val="000000"/>
                <w:sz w:val="20"/>
                <w:szCs w:val="20"/>
                <w:vertAlign w:val="subscript"/>
                <w:lang w:eastAsia="ru-RU" w:bidi="ru-RU"/>
              </w:rPr>
              <w:t>2</w:t>
            </w:r>
          </w:p>
        </w:tc>
        <w:tc>
          <w:tcPr>
            <w:tcW w:w="2674" w:type="dxa"/>
            <w:gridSpan w:val="3"/>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Arial" w:cs="Arial"/>
                <w:sz w:val="20"/>
                <w:szCs w:val="20"/>
                <w:lang w:eastAsia="ru-RU" w:bidi="ru-RU"/>
              </w:rPr>
            </w:pPr>
            <w:r>
              <w:rPr>
                <w:rFonts w:eastAsia="Arial" w:cs="Arial" w:ascii="Arial" w:hAnsi="Arial"/>
                <w:color w:val="000000"/>
                <w:sz w:val="20"/>
                <w:szCs w:val="20"/>
                <w:lang w:eastAsia="ru-RU" w:bidi="ru-RU"/>
              </w:rPr>
              <w:t>Показание анализатора спектра</w:t>
            </w:r>
          </w:p>
        </w:tc>
        <w:tc>
          <w:tcPr>
            <w:tcW w:w="2002" w:type="dxa"/>
            <w:vMerge w:val="restart"/>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Arial" w:cs="Arial"/>
                <w:sz w:val="20"/>
                <w:szCs w:val="20"/>
                <w:lang w:eastAsia="ru-RU" w:bidi="ru-RU"/>
              </w:rPr>
            </w:pPr>
            <w:r>
              <w:rPr>
                <w:rFonts w:eastAsia="Arial" w:cs="Arial" w:ascii="Arial" w:hAnsi="Arial"/>
                <w:color w:val="000000"/>
                <w:sz w:val="20"/>
                <w:szCs w:val="20"/>
                <w:lang w:eastAsia="ru-RU" w:bidi="ru-RU"/>
              </w:rPr>
              <w:t xml:space="preserve">Значение длины волны линий поглощения ацетилена </w:t>
            </w:r>
            <w:r>
              <w:rPr>
                <w:rFonts w:eastAsia="Arial" w:cs="Arial" w:ascii="Arial" w:hAnsi="Arial"/>
                <w:color w:val="000000"/>
                <w:sz w:val="20"/>
                <w:szCs w:val="20"/>
                <w:vertAlign w:val="superscript"/>
                <w:lang w:eastAsia="ru-RU" w:bidi="ru-RU"/>
              </w:rPr>
              <w:t>12</w:t>
            </w:r>
            <w:r>
              <w:rPr>
                <w:rFonts w:eastAsia="Arial" w:cs="Arial" w:ascii="Arial" w:hAnsi="Arial"/>
                <w:color w:val="000000"/>
                <w:sz w:val="20"/>
                <w:szCs w:val="20"/>
                <w:lang w:eastAsia="ru-RU" w:bidi="ru-RU"/>
              </w:rPr>
              <w:t>С</w:t>
            </w:r>
            <w:r>
              <w:rPr>
                <w:rFonts w:eastAsia="Arial" w:cs="Arial" w:ascii="Arial" w:hAnsi="Arial"/>
                <w:color w:val="000000"/>
                <w:sz w:val="20"/>
                <w:szCs w:val="20"/>
                <w:vertAlign w:val="subscript"/>
                <w:lang w:eastAsia="ru-RU" w:bidi="ru-RU"/>
              </w:rPr>
              <w:t>2</w:t>
            </w:r>
            <w:r>
              <w:rPr>
                <w:rFonts w:eastAsia="Arial" w:cs="Arial" w:ascii="Arial" w:hAnsi="Arial"/>
                <w:color w:val="000000"/>
                <w:sz w:val="20"/>
                <w:szCs w:val="20"/>
                <w:lang w:eastAsia="ru-RU" w:bidi="ru-RU"/>
              </w:rPr>
              <w:t>Н</w:t>
            </w:r>
            <w:r>
              <w:rPr>
                <w:rFonts w:eastAsia="Arial" w:cs="Arial" w:ascii="Arial" w:hAnsi="Arial"/>
                <w:color w:val="000000"/>
                <w:sz w:val="20"/>
                <w:szCs w:val="20"/>
                <w:vertAlign w:val="subscript"/>
                <w:lang w:eastAsia="ru-RU" w:bidi="ru-RU"/>
              </w:rPr>
              <w:t>2</w:t>
            </w:r>
          </w:p>
        </w:tc>
        <w:tc>
          <w:tcPr>
            <w:tcW w:w="2678" w:type="dxa"/>
            <w:gridSpan w:val="3"/>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Arial" w:cs="Arial"/>
                <w:sz w:val="20"/>
                <w:szCs w:val="20"/>
                <w:lang w:eastAsia="ru-RU" w:bidi="ru-RU"/>
              </w:rPr>
            </w:pPr>
            <w:r>
              <w:rPr>
                <w:rFonts w:eastAsia="Arial" w:cs="Arial" w:ascii="Arial" w:hAnsi="Arial"/>
                <w:color w:val="000000"/>
                <w:sz w:val="20"/>
                <w:szCs w:val="20"/>
                <w:lang w:eastAsia="ru-RU" w:bidi="ru-RU"/>
              </w:rPr>
              <w:t>Показание анализатора спектра</w:t>
            </w:r>
          </w:p>
        </w:tc>
      </w:tr>
      <w:tr>
        <w:trPr>
          <w:trHeight w:val="575" w:hRule="exact"/>
        </w:trPr>
        <w:tc>
          <w:tcPr>
            <w:tcW w:w="2122" w:type="dxa"/>
            <w:vMerge w:val="continue"/>
            <w:tcBorders>
              <w:left w:val="single" w:sz="4" w:space="0" w:color="000000"/>
            </w:tcBorders>
            <w:shd w:color="auto" w:fill="FFFFFF" w:val="clear"/>
            <w:vAlign w:val="cente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4"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Arial" w:cs="Arial"/>
                <w:sz w:val="20"/>
                <w:szCs w:val="20"/>
                <w:lang w:eastAsia="ru-RU" w:bidi="ru-RU"/>
              </w:rPr>
            </w:pPr>
            <w:r>
              <w:rPr>
                <w:rFonts w:eastAsia="Times New Roman" w:cs="Arial" w:ascii="Arial" w:hAnsi="Arial"/>
                <w:color w:val="000000"/>
                <w:sz w:val="20"/>
                <w:szCs w:val="20"/>
                <w:lang w:val="en-US" w:eastAsia="ru-RU" w:bidi="ru-RU"/>
              </w:rPr>
              <w:t>i</w:t>
            </w:r>
            <w:r>
              <w:rPr>
                <w:rFonts w:eastAsia="Times New Roman" w:cs="Arial" w:ascii="Arial" w:hAnsi="Arial"/>
                <w:color w:val="000000"/>
                <w:sz w:val="20"/>
                <w:szCs w:val="20"/>
                <w:lang w:eastAsia="ru-RU" w:bidi="ru-RU"/>
              </w:rPr>
              <w:t>= 1</w:t>
            </w:r>
          </w:p>
        </w:tc>
        <w:tc>
          <w:tcPr>
            <w:tcW w:w="890"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Arial" w:cs="Arial"/>
                <w:sz w:val="20"/>
                <w:szCs w:val="20"/>
                <w:lang w:eastAsia="ru-RU" w:bidi="ru-RU"/>
              </w:rPr>
            </w:pPr>
            <w:r>
              <w:rPr>
                <w:rFonts w:eastAsia="Times New Roman" w:cs="Arial" w:ascii="Arial" w:hAnsi="Arial"/>
                <w:color w:val="000000"/>
                <w:sz w:val="20"/>
                <w:szCs w:val="20"/>
                <w:lang w:val="en-US" w:eastAsia="ru-RU" w:bidi="ru-RU"/>
              </w:rPr>
              <w:t>i</w:t>
            </w:r>
            <w:r>
              <w:rPr>
                <w:rFonts w:eastAsia="Times New Roman" w:cs="Arial" w:ascii="Arial" w:hAnsi="Arial"/>
                <w:color w:val="000000"/>
                <w:sz w:val="20"/>
                <w:szCs w:val="20"/>
                <w:lang w:eastAsia="ru-RU" w:bidi="ru-RU"/>
              </w:rPr>
              <w:t>...</w:t>
            </w:r>
          </w:p>
        </w:tc>
        <w:tc>
          <w:tcPr>
            <w:tcW w:w="890"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Arial" w:cs="Arial"/>
                <w:sz w:val="20"/>
                <w:szCs w:val="20"/>
                <w:lang w:eastAsia="ru-RU" w:bidi="ru-RU"/>
              </w:rPr>
            </w:pPr>
            <w:r>
              <w:rPr>
                <w:rFonts w:eastAsia="Times New Roman" w:cs="Arial" w:ascii="Arial" w:hAnsi="Arial"/>
                <w:color w:val="000000"/>
                <w:sz w:val="20"/>
                <w:szCs w:val="20"/>
                <w:lang w:val="en-US" w:eastAsia="ru-RU" w:bidi="ru-RU"/>
              </w:rPr>
              <w:t>i</w:t>
            </w:r>
            <w:r>
              <w:rPr>
                <w:rFonts w:eastAsia="Times New Roman" w:cs="Arial" w:ascii="Arial" w:hAnsi="Arial"/>
                <w:color w:val="000000"/>
                <w:sz w:val="20"/>
                <w:szCs w:val="20"/>
                <w:lang w:eastAsia="ru-RU" w:bidi="ru-RU"/>
              </w:rPr>
              <w:t>= 10</w:t>
            </w:r>
          </w:p>
        </w:tc>
        <w:tc>
          <w:tcPr>
            <w:tcW w:w="2002" w:type="dxa"/>
            <w:vMerge w:val="continue"/>
            <w:tcBorders>
              <w:left w:val="single" w:sz="4" w:space="0" w:color="000000"/>
            </w:tcBorders>
            <w:shd w:color="auto" w:fill="FFFFFF" w:val="clear"/>
            <w:vAlign w:val="cente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Arial" w:cs="Arial"/>
                <w:sz w:val="20"/>
                <w:szCs w:val="20"/>
                <w:lang w:eastAsia="ru-RU" w:bidi="ru-RU"/>
              </w:rPr>
            </w:pPr>
            <w:r>
              <w:rPr>
                <w:rFonts w:eastAsia="Times New Roman" w:cs="Arial" w:ascii="Arial" w:hAnsi="Arial"/>
                <w:color w:val="000000"/>
                <w:sz w:val="20"/>
                <w:szCs w:val="20"/>
                <w:lang w:val="en-US" w:eastAsia="ru-RU" w:bidi="ru-RU"/>
              </w:rPr>
              <w:t>i</w:t>
            </w:r>
            <w:r>
              <w:rPr>
                <w:rFonts w:eastAsia="Times New Roman" w:cs="Arial" w:ascii="Arial" w:hAnsi="Arial"/>
                <w:color w:val="000000"/>
                <w:sz w:val="20"/>
                <w:szCs w:val="20"/>
                <w:lang w:eastAsia="ru-RU" w:bidi="ru-RU"/>
              </w:rPr>
              <w:t>= 1</w:t>
            </w:r>
          </w:p>
        </w:tc>
        <w:tc>
          <w:tcPr>
            <w:tcW w:w="890"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Arial" w:cs="Arial"/>
                <w:sz w:val="20"/>
                <w:szCs w:val="20"/>
                <w:lang w:eastAsia="ru-RU" w:bidi="ru-RU"/>
              </w:rPr>
            </w:pPr>
            <w:r>
              <w:rPr>
                <w:rFonts w:eastAsia="Times New Roman" w:cs="Arial" w:ascii="Arial" w:hAnsi="Arial"/>
                <w:color w:val="000000"/>
                <w:sz w:val="20"/>
                <w:szCs w:val="20"/>
                <w:lang w:val="en-US" w:eastAsia="ru-RU" w:bidi="ru-RU"/>
              </w:rPr>
              <w:t>i</w:t>
            </w:r>
            <w:r>
              <w:rPr>
                <w:rFonts w:eastAsia="Times New Roman" w:cs="Arial" w:ascii="Arial" w:hAnsi="Arial"/>
                <w:color w:val="000000"/>
                <w:sz w:val="20"/>
                <w:szCs w:val="20"/>
                <w:lang w:eastAsia="ru-RU" w:bidi="ru-RU"/>
              </w:rPr>
              <w:t>...</w:t>
            </w:r>
          </w:p>
        </w:tc>
        <w:tc>
          <w:tcPr>
            <w:tcW w:w="898"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Arial" w:cs="Arial"/>
                <w:sz w:val="20"/>
                <w:szCs w:val="20"/>
                <w:lang w:eastAsia="ru-RU" w:bidi="ru-RU"/>
              </w:rPr>
            </w:pPr>
            <w:r>
              <w:rPr>
                <w:rFonts w:eastAsia="Times New Roman" w:cs="Arial" w:ascii="Arial" w:hAnsi="Arial"/>
                <w:color w:val="000000"/>
                <w:sz w:val="20"/>
                <w:szCs w:val="20"/>
                <w:lang w:val="en-US" w:eastAsia="ru-RU" w:bidi="ru-RU"/>
              </w:rPr>
              <w:t>i</w:t>
            </w:r>
            <w:r>
              <w:rPr>
                <w:rFonts w:eastAsia="Times New Roman" w:cs="Arial" w:ascii="Arial" w:hAnsi="Arial"/>
                <w:color w:val="000000"/>
                <w:sz w:val="20"/>
                <w:szCs w:val="20"/>
                <w:lang w:eastAsia="ru-RU" w:bidi="ru-RU"/>
              </w:rPr>
              <w:t>= 10</w:t>
            </w:r>
          </w:p>
        </w:tc>
      </w:tr>
      <w:tr>
        <w:trPr>
          <w:trHeight w:val="279" w:hRule="exact"/>
        </w:trPr>
        <w:tc>
          <w:tcPr>
            <w:tcW w:w="2122"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1512,453</w:t>
            </w:r>
          </w:p>
        </w:tc>
        <w:tc>
          <w:tcPr>
            <w:tcW w:w="894"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2002"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1523,086</w:t>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8"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r>
      <w:tr>
        <w:trPr>
          <w:trHeight w:val="284" w:hRule="exact"/>
        </w:trPr>
        <w:tc>
          <w:tcPr>
            <w:tcW w:w="2122"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1515,593</w:t>
            </w:r>
          </w:p>
        </w:tc>
        <w:tc>
          <w:tcPr>
            <w:tcW w:w="894"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2002"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1528,014</w:t>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8"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r>
      <w:tr>
        <w:trPr>
          <w:trHeight w:val="284" w:hRule="exact"/>
        </w:trPr>
        <w:tc>
          <w:tcPr>
            <w:tcW w:w="2122"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1517,315</w:t>
            </w:r>
          </w:p>
        </w:tc>
        <w:tc>
          <w:tcPr>
            <w:tcW w:w="894"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2002"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1535,393</w:t>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8"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r>
      <w:tr>
        <w:trPr>
          <w:trHeight w:val="301" w:hRule="exact"/>
        </w:trPr>
        <w:tc>
          <w:tcPr>
            <w:tcW w:w="2122"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1520,086</w:t>
            </w:r>
          </w:p>
        </w:tc>
        <w:tc>
          <w:tcPr>
            <w:tcW w:w="89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2002"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1539,430</w:t>
            </w:r>
          </w:p>
        </w:tc>
        <w:tc>
          <w:tcPr>
            <w:tcW w:w="890"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0"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8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r>
    </w:tbl>
    <w:p>
      <w:pPr>
        <w:pStyle w:val="Normal"/>
        <w:widowControl w:val="false"/>
        <w:tabs>
          <w:tab w:val="clear" w:pos="708"/>
          <w:tab w:val="left" w:pos="4691" w:leader="none"/>
        </w:tabs>
        <w:spacing w:lineRule="auto" w:line="240" w:before="0" w:after="0"/>
        <w:ind w:left="440" w:right="540" w:hanging="298"/>
        <w:jc w:val="right"/>
        <w:rPr>
          <w:rFonts w:ascii="Arial" w:hAnsi="Arial" w:eastAsia="Arial" w:cs="Arial"/>
          <w:color w:val="000000"/>
          <w:sz w:val="17"/>
          <w:szCs w:val="17"/>
          <w:lang w:eastAsia="ru-RU" w:bidi="ru-RU"/>
        </w:rPr>
      </w:pPr>
      <w:r>
        <w:rPr>
          <w:rFonts w:eastAsia="Arial" w:cs="Arial" w:ascii="Arial" w:hAnsi="Arial"/>
          <w:color w:val="000000"/>
          <w:sz w:val="17"/>
          <w:szCs w:val="17"/>
          <w:lang w:eastAsia="ru-RU" w:bidi="ru-RU"/>
        </w:rPr>
      </w:r>
    </w:p>
    <w:p>
      <w:pPr>
        <w:pStyle w:val="Normal"/>
        <w:widowControl w:val="false"/>
        <w:spacing w:lineRule="auto" w:line="240" w:before="0" w:after="280"/>
        <w:ind w:left="440" w:firstLine="567"/>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 xml:space="preserve">Для </w:t>
      </w:r>
      <w:r>
        <w:rPr>
          <w:rFonts w:eastAsia="Arial" w:cs="Arial" w:ascii="Arial" w:hAnsi="Arial"/>
          <w:i/>
          <w:iCs/>
          <w:color w:val="000000"/>
          <w:sz w:val="20"/>
          <w:szCs w:val="20"/>
          <w:lang w:val="en-US" w:eastAsia="ru-RU" w:bidi="ru-RU"/>
        </w:rPr>
        <w:t>n</w:t>
      </w:r>
      <w:r>
        <w:rPr>
          <w:rFonts w:eastAsia="Arial" w:cs="Arial" w:ascii="Arial" w:hAnsi="Arial"/>
          <w:i/>
          <w:iCs/>
          <w:color w:val="000000"/>
          <w:sz w:val="20"/>
          <w:szCs w:val="20"/>
          <w:lang w:eastAsia="ru-RU" w:bidi="ru-RU"/>
        </w:rPr>
        <w:t xml:space="preserve"> </w:t>
      </w:r>
      <w:r>
        <w:rPr>
          <w:rFonts w:eastAsia="Arial" w:cs="Arial" w:ascii="Arial" w:hAnsi="Arial"/>
          <w:color w:val="000000"/>
          <w:sz w:val="20"/>
          <w:szCs w:val="20"/>
          <w:lang w:eastAsia="ru-RU" w:bidi="ru-RU"/>
        </w:rPr>
        <w:t>измеренных значений длин волн определяют среднее значение:</w:t>
      </w:r>
    </w:p>
    <w:p>
      <w:pPr>
        <w:pStyle w:val="Normal"/>
        <w:widowControl w:val="false"/>
        <w:spacing w:lineRule="auto" w:line="240" w:before="0" w:after="280"/>
        <w:ind w:left="440" w:firstLine="4111"/>
        <w:rPr>
          <w:rFonts w:ascii="Arial" w:hAnsi="Arial" w:eastAsia="Arial" w:cs="Arial"/>
          <w:sz w:val="20"/>
          <w:szCs w:val="20"/>
          <w:lang w:eastAsia="ru-RU" w:bidi="ru-RU"/>
        </w:rPr>
      </w:pPr>
      <w:r>
        <w:rPr/>
        <w:drawing>
          <wp:inline distT="0" distB="0" distL="0" distR="0">
            <wp:extent cx="962660" cy="461010"/>
            <wp:effectExtent l="0" t="0" r="0" b="0"/>
            <wp:docPr id="1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 descr=""/>
                    <pic:cNvPicPr>
                      <a:picLocks noChangeAspect="1" noChangeArrowheads="1"/>
                    </pic:cNvPicPr>
                  </pic:nvPicPr>
                  <pic:blipFill>
                    <a:blip r:embed="rId6"/>
                    <a:stretch>
                      <a:fillRect/>
                    </a:stretch>
                  </pic:blipFill>
                  <pic:spPr bwMode="auto">
                    <a:xfrm>
                      <a:off x="0" y="0"/>
                      <a:ext cx="962660" cy="461010"/>
                    </a:xfrm>
                    <a:prstGeom prst="rect">
                      <a:avLst/>
                    </a:prstGeom>
                  </pic:spPr>
                </pic:pic>
              </a:graphicData>
            </a:graphic>
          </wp:inline>
        </w:drawing>
      </w:r>
      <w:r>
        <w:rPr>
          <w:rFonts w:eastAsia="Arial" w:cs="Arial" w:ascii="Arial" w:hAnsi="Arial"/>
          <w:sz w:val="20"/>
          <w:szCs w:val="20"/>
          <w:lang w:eastAsia="ru-RU" w:bidi="ru-RU"/>
        </w:rPr>
        <w:t xml:space="preserve">                                                              </w:t>
      </w:r>
      <w:r>
        <w:rPr>
          <w:rFonts w:eastAsia="Arial" w:cs="Arial" w:ascii="Arial" w:hAnsi="Arial"/>
          <w:sz w:val="20"/>
          <w:szCs w:val="20"/>
          <w:lang w:eastAsia="ru-RU" w:bidi="ru-RU"/>
        </w:rPr>
        <w:t>(1)</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где </w:t>
      </w:r>
      <w:r>
        <w:rPr>
          <w:rFonts w:cs="Arial" w:ascii="Arial" w:hAnsi="Arial"/>
          <w:color w:val="4D5156"/>
          <w:sz w:val="20"/>
          <w:szCs w:val="20"/>
          <w:shd w:fill="FFFFFF" w:val="clear"/>
        </w:rPr>
        <w:t>λi</w:t>
      </w:r>
      <w:r>
        <w:rPr>
          <w:rFonts w:eastAsia="Arial" w:cs="Arial" w:ascii="Arial" w:hAnsi="Arial"/>
          <w:sz w:val="20"/>
          <w:szCs w:val="20"/>
          <w:lang w:eastAsia="ru-RU" w:bidi="ru-RU"/>
        </w:rPr>
        <w:t>— i-e значение длины волны.</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3"/>
          <w:numId w:val="4"/>
        </w:numPr>
        <w:spacing w:lineRule="auto" w:line="240" w:before="0" w:after="80"/>
        <w:ind w:left="0" w:firstLine="567"/>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Определение параметров по 4.7.4 для длин волн на краях и в середине спектрального диапазона проводят с помощью трех лазеров, работающих на длинах волн вблизи 1310, 1550 и 1625 нм.</w:t>
      </w:r>
    </w:p>
    <w:p>
      <w:pPr>
        <w:pStyle w:val="Normal"/>
        <w:widowControl w:val="false"/>
        <w:spacing w:lineRule="auto" w:line="240" w:before="0" w:after="80"/>
        <w:ind w:left="440" w:firstLine="709"/>
        <w:jc w:val="both"/>
        <w:rPr>
          <w:rFonts w:ascii="Arial" w:hAnsi="Arial" w:eastAsia="Arial" w:cs="Arial"/>
          <w:sz w:val="20"/>
          <w:szCs w:val="20"/>
          <w:lang w:eastAsia="ru-RU" w:bidi="ru-RU"/>
        </w:rPr>
      </w:pPr>
      <w:r>
        <w:rPr>
          <w:rFonts w:eastAsia="Arial" w:cs="Arial" w:ascii="Arial" w:hAnsi="Arial"/>
          <w:sz w:val="20"/>
          <w:szCs w:val="20"/>
          <w:lang w:eastAsia="ru-RU" w:bidi="ru-RU"/>
        </w:rPr>
        <w:t>Соединяют оптическим кабелем выходной разъем канала одного из лазеров и вход поверяемого анализатора спектра.</w:t>
      </w:r>
    </w:p>
    <w:p>
      <w:pPr>
        <w:pStyle w:val="ListParagraph"/>
        <w:widowControl w:val="false"/>
        <w:numPr>
          <w:ilvl w:val="3"/>
          <w:numId w:val="4"/>
        </w:numPr>
        <w:spacing w:lineRule="auto" w:line="240" w:before="0" w:after="80"/>
        <w:ind w:left="0"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Переводят переключатель на лицевой панели РЭ ДВ в положение «Лазеры». Проводят измерения значений длин волн по лазерным линиям излучения. Результаты измерений вносят в таблицу 4.4. Приведенные в таблице 4.4 значения длины волны лазера соответствуют типовым значениям длин волн источников. Конкретные значения приведены в руководстве по эксплуатации РЭ ДВ.</w:t>
      </w:r>
    </w:p>
    <w:p>
      <w:pPr>
        <w:pStyle w:val="ListParagraph"/>
        <w:widowControl w:val="false"/>
        <w:spacing w:lineRule="auto" w:line="288" w:before="0" w:after="80"/>
        <w:ind w:left="620" w:hanging="620"/>
        <w:contextualSpacing/>
        <w:jc w:val="both"/>
        <w:rPr>
          <w:rFonts w:ascii="Arial" w:hAnsi="Arial" w:eastAsia="Arial" w:cs="Arial"/>
          <w:sz w:val="20"/>
          <w:szCs w:val="20"/>
          <w:lang w:eastAsia="ru-RU" w:bidi="ru-RU"/>
        </w:rPr>
      </w:pPr>
      <w:r>
        <w:rPr>
          <w:rFonts w:eastAsia="Arial" w:cs="Arial" w:ascii="Arial" w:hAnsi="Arial"/>
          <w:sz w:val="20"/>
          <w:szCs w:val="20"/>
          <w:lang w:eastAsia="ru-RU" w:bidi="ru-RU"/>
        </w:rPr>
        <w:t>Таблица 4.4</w:t>
      </w:r>
    </w:p>
    <w:tbl>
      <w:tblPr>
        <w:tblW w:w="949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410"/>
        <w:gridCol w:w="2476"/>
        <w:gridCol w:w="2196"/>
        <w:gridCol w:w="2410"/>
      </w:tblGrid>
      <w:tr>
        <w:trPr>
          <w:trHeight w:val="557" w:hRule="atLeast"/>
        </w:trPr>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jc w:val="center"/>
              <w:rPr>
                <w:rFonts w:ascii="Arial" w:hAnsi="Arial" w:eastAsia="Arial" w:cs="Arial"/>
                <w:sz w:val="20"/>
                <w:szCs w:val="20"/>
                <w:lang w:eastAsia="ru-RU" w:bidi="ru-RU"/>
              </w:rPr>
            </w:pPr>
            <w:r>
              <w:rPr>
                <w:rFonts w:eastAsia="Arial" w:cs="Arial" w:ascii="Arial" w:hAnsi="Arial"/>
                <w:sz w:val="20"/>
                <w:szCs w:val="20"/>
                <w:lang w:eastAsia="ru-RU" w:bidi="ru-RU"/>
              </w:rPr>
              <w:t>Значение длины волны лазера, нм</w:t>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jc w:val="center"/>
              <w:rPr>
                <w:rFonts w:ascii="Arial" w:hAnsi="Arial" w:eastAsia="Arial" w:cs="Arial"/>
                <w:sz w:val="20"/>
                <w:szCs w:val="20"/>
                <w:lang w:eastAsia="ru-RU" w:bidi="ru-RU"/>
              </w:rPr>
            </w:pPr>
            <w:r>
              <w:rPr>
                <w:rFonts w:eastAsia="Arial" w:cs="Arial" w:ascii="Arial" w:hAnsi="Arial"/>
                <w:sz w:val="20"/>
                <w:szCs w:val="20"/>
                <w:lang w:eastAsia="ru-RU" w:bidi="ru-RU"/>
              </w:rPr>
              <w:t>Показание анализатора спектра</w:t>
            </w:r>
          </w:p>
        </w:tc>
        <w:tc>
          <w:tcPr>
            <w:tcW w:w="21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jc w:val="center"/>
              <w:rPr>
                <w:rFonts w:ascii="Arial" w:hAnsi="Arial" w:eastAsia="Arial" w:cs="Arial"/>
                <w:sz w:val="20"/>
                <w:szCs w:val="20"/>
                <w:lang w:eastAsia="ru-RU" w:bidi="ru-RU"/>
              </w:rPr>
            </w:pPr>
            <w:r>
              <w:rPr>
                <w:rFonts w:eastAsia="Arial" w:cs="Arial" w:ascii="Arial" w:hAnsi="Arial"/>
                <w:sz w:val="20"/>
                <w:szCs w:val="20"/>
                <w:lang w:eastAsia="ru-RU" w:bidi="ru-RU"/>
              </w:rPr>
              <w:t>Значение длины волны лазера, нм</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jc w:val="center"/>
              <w:rPr>
                <w:rFonts w:ascii="Arial" w:hAnsi="Arial" w:eastAsia="Arial" w:cs="Arial"/>
                <w:sz w:val="20"/>
                <w:szCs w:val="20"/>
                <w:lang w:eastAsia="ru-RU" w:bidi="ru-RU"/>
              </w:rPr>
            </w:pPr>
            <w:r>
              <w:rPr>
                <w:rFonts w:eastAsia="Arial" w:cs="Arial" w:ascii="Arial" w:hAnsi="Arial"/>
                <w:sz w:val="20"/>
                <w:szCs w:val="20"/>
                <w:lang w:eastAsia="ru-RU" w:bidi="ru-RU"/>
              </w:rPr>
              <w:t>Показание анализатора спектра</w:t>
            </w:r>
          </w:p>
        </w:tc>
      </w:tr>
      <w:tr>
        <w:trPr>
          <w:trHeight w:val="253" w:hRule="atLeast"/>
        </w:trPr>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ind w:left="440" w:hanging="114"/>
              <w:jc w:val="center"/>
              <w:rPr>
                <w:rFonts w:ascii="Arial" w:hAnsi="Arial" w:eastAsia="Arial" w:cs="Arial"/>
                <w:sz w:val="20"/>
                <w:szCs w:val="20"/>
                <w:lang w:eastAsia="ru-RU" w:bidi="ru-RU"/>
              </w:rPr>
            </w:pPr>
            <w:r>
              <w:rPr>
                <w:rFonts w:eastAsia="Arial" w:cs="Arial" w:ascii="Arial" w:hAnsi="Arial"/>
                <w:sz w:val="20"/>
                <w:szCs w:val="20"/>
                <w:lang w:eastAsia="ru-RU" w:bidi="ru-RU"/>
              </w:rPr>
              <w:t>1310</w:t>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tc>
        <w:tc>
          <w:tcPr>
            <w:tcW w:w="21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ab/>
              <w:t>1625</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tc>
      </w:tr>
      <w:tr>
        <w:trPr>
          <w:trHeight w:val="222" w:hRule="atLeast"/>
        </w:trPr>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ind w:left="440" w:hanging="114"/>
              <w:jc w:val="center"/>
              <w:rPr>
                <w:rFonts w:ascii="Arial" w:hAnsi="Arial" w:eastAsia="Arial" w:cs="Arial"/>
                <w:sz w:val="20"/>
                <w:szCs w:val="20"/>
                <w:lang w:eastAsia="ru-RU" w:bidi="ru-RU"/>
              </w:rPr>
            </w:pPr>
            <w:r>
              <w:rPr>
                <w:rFonts w:eastAsia="Arial" w:cs="Arial" w:ascii="Arial" w:hAnsi="Arial"/>
                <w:sz w:val="20"/>
                <w:szCs w:val="20"/>
                <w:lang w:eastAsia="ru-RU" w:bidi="ru-RU"/>
              </w:rPr>
              <w:t>1550</w:t>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tc>
        <w:tc>
          <w:tcPr>
            <w:tcW w:w="21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tc>
      </w:tr>
    </w:tbl>
    <w:p>
      <w:pPr>
        <w:pStyle w:val="Normal"/>
        <w:widowControl w:val="false"/>
        <w:spacing w:lineRule="auto" w:line="240" w:before="0" w:after="8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80"/>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Измерения проводят </w:t>
      </w:r>
      <w:r>
        <w:rPr>
          <w:rFonts w:eastAsia="Arial" w:cs="Arial" w:ascii="Arial" w:hAnsi="Arial"/>
          <w:sz w:val="20"/>
          <w:szCs w:val="20"/>
          <w:lang w:val="en-US" w:eastAsia="ru-RU" w:bidi="ru-RU"/>
        </w:rPr>
        <w:t>n</w:t>
      </w:r>
      <w:r>
        <w:rPr>
          <w:rFonts w:eastAsia="Arial" w:cs="Arial" w:ascii="Arial" w:hAnsi="Arial"/>
          <w:sz w:val="20"/>
          <w:szCs w:val="20"/>
          <w:lang w:eastAsia="ru-RU" w:bidi="ru-RU"/>
        </w:rPr>
        <w:t xml:space="preserve"> </w:t>
      </w:r>
      <w:r>
        <w:rPr>
          <w:rFonts w:eastAsia="Arial" w:cs="Arial" w:ascii="Arial" w:hAnsi="Arial"/>
          <w:color w:val="000000"/>
          <w:sz w:val="20"/>
          <w:szCs w:val="20"/>
          <w:lang w:eastAsia="ru-RU" w:bidi="ru-RU"/>
        </w:rPr>
        <w:t>≥</w:t>
      </w:r>
      <w:r>
        <w:rPr>
          <w:rFonts w:eastAsia="Arial" w:cs="Arial" w:ascii="Arial" w:hAnsi="Arial"/>
          <w:sz w:val="20"/>
          <w:szCs w:val="20"/>
          <w:lang w:eastAsia="ru-RU" w:bidi="ru-RU"/>
        </w:rPr>
        <w:t xml:space="preserve"> 10 раз для каждого значения длины волны излучения полупроводниковых лазеров, определяют средние значения по формуле (1).</w:t>
      </w:r>
    </w:p>
    <w:p>
      <w:pPr>
        <w:pStyle w:val="Normal"/>
        <w:widowControl w:val="false"/>
        <w:spacing w:lineRule="auto" w:line="240" w:before="0" w:after="80"/>
        <w:ind w:left="440" w:firstLine="560"/>
        <w:jc w:val="both"/>
        <w:rPr>
          <w:rFonts w:ascii="Arial" w:hAnsi="Arial" w:eastAsia="Arial" w:cs="Arial"/>
          <w:sz w:val="18"/>
          <w:szCs w:val="18"/>
          <w:lang w:eastAsia="ru-RU" w:bidi="ru-RU"/>
        </w:rPr>
      </w:pPr>
      <w:r>
        <w:rPr>
          <w:rFonts w:eastAsia="Arial" w:cs="Arial" w:ascii="Arial" w:hAnsi="Arial"/>
          <w:sz w:val="18"/>
          <w:szCs w:val="18"/>
          <w:lang w:eastAsia="ru-RU" w:bidi="ru-RU"/>
        </w:rPr>
        <w:t>Примечание — При наличии нижней границы спектрального диапазона анализатора спектра на более коротких длинах волн (до 0,6 мкм) допускается применение дополнительного отдельного He-Ne лазера.</w:t>
      </w:r>
    </w:p>
    <w:p>
      <w:pPr>
        <w:pStyle w:val="ListParagraph"/>
        <w:widowControl w:val="false"/>
        <w:numPr>
          <w:ilvl w:val="3"/>
          <w:numId w:val="4"/>
        </w:numPr>
        <w:spacing w:lineRule="auto" w:line="240" w:before="0" w:after="80"/>
        <w:ind w:left="0" w:firstLine="426"/>
        <w:contextualSpacing/>
        <w:jc w:val="both"/>
        <w:rPr>
          <w:rFonts w:ascii="Arial" w:hAnsi="Arial" w:eastAsia="Arial" w:cs="Arial"/>
          <w:sz w:val="20"/>
          <w:szCs w:val="20"/>
          <w:lang w:eastAsia="ru-RU" w:bidi="ru-RU"/>
        </w:rPr>
      </w:pPr>
      <w:r>
        <w:rPr>
          <w:rFonts w:eastAsia="Arial" w:cs="Arial" w:ascii="Arial" w:hAnsi="Arial"/>
          <w:sz w:val="20"/>
          <w:szCs w:val="20"/>
          <w:lang w:eastAsia="ru-RU" w:bidi="ru-RU"/>
        </w:rPr>
        <w:t>Для полученных по 4.7.4.2 и 4.7.4 результатов измерений определяют среднее квадратичное отклонение (СКО) результата измерений S по формуле</w:t>
      </w:r>
    </w:p>
    <w:p>
      <w:pPr>
        <w:pStyle w:val="ListParagraph"/>
        <w:widowControl w:val="false"/>
        <w:spacing w:lineRule="auto" w:line="240" w:before="0" w:after="80"/>
        <w:ind w:left="426" w:hanging="298"/>
        <w:contextualSpacing/>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88" w:before="0" w:after="80"/>
        <w:ind w:left="440" w:firstLine="3261"/>
        <w:jc w:val="both"/>
        <w:rPr>
          <w:rFonts w:ascii="Arial" w:hAnsi="Arial" w:eastAsia="Arial" w:cs="Arial"/>
          <w:sz w:val="20"/>
          <w:szCs w:val="20"/>
          <w:lang w:eastAsia="ru-RU" w:bidi="ru-RU"/>
        </w:rPr>
      </w:pPr>
      <w:r>
        <w:rPr/>
        <w:drawing>
          <wp:inline distT="0" distB="0" distL="0" distR="0">
            <wp:extent cx="1411605" cy="505460"/>
            <wp:effectExtent l="0" t="0" r="0" b="0"/>
            <wp:docPr id="1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2" descr=""/>
                    <pic:cNvPicPr>
                      <a:picLocks noChangeAspect="1" noChangeArrowheads="1"/>
                    </pic:cNvPicPr>
                  </pic:nvPicPr>
                  <pic:blipFill>
                    <a:blip r:embed="rId7"/>
                    <a:stretch>
                      <a:fillRect/>
                    </a:stretch>
                  </pic:blipFill>
                  <pic:spPr bwMode="auto">
                    <a:xfrm>
                      <a:off x="0" y="0"/>
                      <a:ext cx="1411605" cy="505460"/>
                    </a:xfrm>
                    <a:prstGeom prst="rect">
                      <a:avLst/>
                    </a:prstGeom>
                  </pic:spPr>
                </pic:pic>
              </a:graphicData>
            </a:graphic>
          </wp:inline>
        </w:drawing>
      </w:r>
      <w:r>
        <w:rPr>
          <w:rFonts w:eastAsia="Arial" w:cs="Arial" w:ascii="Arial" w:hAnsi="Arial"/>
          <w:sz w:val="20"/>
          <w:szCs w:val="20"/>
          <w:lang w:eastAsia="ru-RU" w:bidi="ru-RU"/>
        </w:rPr>
        <w:tab/>
        <w:t xml:space="preserve">                                                              (2)</w:t>
      </w:r>
    </w:p>
    <w:p>
      <w:pPr>
        <w:pStyle w:val="Normal"/>
        <w:widowControl w:val="false"/>
        <w:spacing w:lineRule="auto" w:line="288" w:before="0" w:after="80"/>
        <w:ind w:left="709" w:firstLine="142"/>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где </w:t>
      </w:r>
      <w:r>
        <w:rPr>
          <w:rFonts w:cs="Arial" w:ascii="Arial" w:hAnsi="Arial"/>
          <w:color w:val="4D5156"/>
          <w:sz w:val="20"/>
          <w:szCs w:val="20"/>
          <w:shd w:fill="FFFFFF" w:val="clear"/>
        </w:rPr>
        <w:t>λi</w:t>
      </w:r>
      <w:r>
        <w:rPr>
          <w:rFonts w:eastAsia="Arial" w:cs="Arial" w:ascii="Arial" w:hAnsi="Arial"/>
          <w:sz w:val="20"/>
          <w:szCs w:val="20"/>
          <w:lang w:eastAsia="ru-RU" w:bidi="ru-RU"/>
        </w:rPr>
        <w:t xml:space="preserve"> —длина волны, регистрируемая на поверяемом анализаторе спектра для </w:t>
      </w:r>
      <w:r>
        <w:rPr>
          <w:rFonts w:eastAsia="Arial" w:cs="Arial" w:ascii="Arial" w:hAnsi="Arial"/>
          <w:sz w:val="20"/>
          <w:szCs w:val="20"/>
          <w:lang w:val="en-US" w:eastAsia="ru-RU" w:bidi="ru-RU"/>
        </w:rPr>
        <w:t>i</w:t>
      </w:r>
      <w:r>
        <w:rPr>
          <w:rFonts w:eastAsia="Arial" w:cs="Arial" w:ascii="Arial" w:hAnsi="Arial"/>
          <w:sz w:val="20"/>
          <w:szCs w:val="20"/>
          <w:lang w:eastAsia="ru-RU" w:bidi="ru-RU"/>
        </w:rPr>
        <w:t>-го измерения.</w:t>
      </w:r>
    </w:p>
    <w:p>
      <w:pPr>
        <w:pStyle w:val="Normal"/>
        <w:widowControl w:val="false"/>
        <w:spacing w:lineRule="auto" w:line="288" w:before="0" w:after="80"/>
        <w:ind w:left="440" w:firstLine="709"/>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Абсолютную погрешность </w:t>
      </w:r>
      <w:r>
        <w:rPr>
          <w:rFonts w:eastAsia="Arial" w:cs="Cambria Math" w:ascii="Cambria Math" w:hAnsi="Cambria Math"/>
          <w:color w:val="000000"/>
          <w:sz w:val="20"/>
          <w:szCs w:val="20"/>
          <w:lang w:eastAsia="ru-RU" w:bidi="ru-RU"/>
        </w:rPr>
        <w:t>△</w:t>
      </w:r>
      <w:r>
        <w:rPr>
          <w:rFonts w:eastAsia="Arial" w:cs="Arial" w:ascii="Arial" w:hAnsi="Arial"/>
          <w:sz w:val="20"/>
          <w:szCs w:val="20"/>
          <w:lang w:eastAsia="ru-RU" w:bidi="ru-RU"/>
        </w:rPr>
        <w:t xml:space="preserve"> при измерении длины волны вычисляют по формуле</w:t>
      </w:r>
    </w:p>
    <w:p>
      <w:pPr>
        <w:pStyle w:val="Normal"/>
        <w:widowControl w:val="false"/>
        <w:spacing w:lineRule="auto" w:line="288" w:before="0" w:after="80"/>
        <w:ind w:left="440" w:firstLine="3544"/>
        <w:jc w:val="both"/>
        <w:rPr>
          <w:rFonts w:ascii="Arial" w:hAnsi="Arial" w:eastAsia="Arial" w:cs="Arial"/>
          <w:sz w:val="20"/>
          <w:szCs w:val="20"/>
          <w:lang w:eastAsia="ru-RU" w:bidi="ru-RU"/>
        </w:rPr>
      </w:pPr>
      <w:r>
        <w:rPr/>
        <w:drawing>
          <wp:inline distT="0" distB="0" distL="0" distR="0">
            <wp:extent cx="1718945" cy="401320"/>
            <wp:effectExtent l="0" t="0" r="0" b="0"/>
            <wp:docPr id="15"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3" descr=""/>
                    <pic:cNvPicPr>
                      <a:picLocks noChangeAspect="1" noChangeArrowheads="1"/>
                    </pic:cNvPicPr>
                  </pic:nvPicPr>
                  <pic:blipFill>
                    <a:blip r:embed="rId8"/>
                    <a:stretch>
                      <a:fillRect/>
                    </a:stretch>
                  </pic:blipFill>
                  <pic:spPr bwMode="auto">
                    <a:xfrm>
                      <a:off x="0" y="0"/>
                      <a:ext cx="1718945" cy="401320"/>
                    </a:xfrm>
                    <a:prstGeom prst="rect">
                      <a:avLst/>
                    </a:prstGeom>
                  </pic:spPr>
                </pic:pic>
              </a:graphicData>
            </a:graphic>
          </wp:inline>
        </w:drawing>
      </w:r>
      <w:r>
        <w:rPr>
          <w:rFonts w:eastAsia="Arial" w:cs="Arial" w:ascii="Arial" w:hAnsi="Arial"/>
          <w:sz w:val="20"/>
          <w:szCs w:val="20"/>
          <w:lang w:eastAsia="ru-RU" w:bidi="ru-RU"/>
        </w:rPr>
        <w:t xml:space="preserve">                                                         </w:t>
      </w:r>
      <w:r>
        <w:rPr>
          <w:rFonts w:eastAsia="Arial" w:cs="Arial" w:ascii="Arial" w:hAnsi="Arial"/>
          <w:sz w:val="20"/>
          <w:szCs w:val="20"/>
          <w:lang w:eastAsia="ru-RU" w:bidi="ru-RU"/>
        </w:rPr>
        <w:t>(3)</w:t>
      </w:r>
    </w:p>
    <w:p>
      <w:pPr>
        <w:pStyle w:val="Normal"/>
        <w:widowControl w:val="false"/>
        <w:spacing w:lineRule="auto" w:line="288" w:before="0" w:after="80"/>
        <w:ind w:left="709" w:firstLine="142"/>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где λист — значение длины волны, воспроизводимое РЭ ДВ, </w:t>
      </w:r>
    </w:p>
    <w:p>
      <w:pPr>
        <w:pStyle w:val="Normal"/>
        <w:widowControl w:val="false"/>
        <w:spacing w:lineRule="auto" w:line="288" w:before="0" w:after="80"/>
        <w:ind w:left="709" w:firstLine="142"/>
        <w:jc w:val="both"/>
        <w:rPr>
          <w:rFonts w:ascii="Arial" w:hAnsi="Arial" w:eastAsia="Arial" w:cs="Arial"/>
          <w:sz w:val="20"/>
          <w:szCs w:val="20"/>
          <w:lang w:eastAsia="ru-RU" w:bidi="ru-RU"/>
        </w:rPr>
      </w:pPr>
      <w:r>
        <w:rPr>
          <w:rFonts w:eastAsia="Arial" w:cs="Cambria Math" w:ascii="Cambria Math" w:hAnsi="Cambria Math"/>
          <w:sz w:val="20"/>
          <w:szCs w:val="20"/>
          <w:lang w:eastAsia="ru-RU" w:bidi="ru-RU"/>
        </w:rPr>
        <w:t>△</w:t>
      </w:r>
      <w:r>
        <w:rPr>
          <w:rFonts w:eastAsia="Arial" w:cs="Arial" w:ascii="Arial" w:hAnsi="Arial"/>
          <w:sz w:val="20"/>
          <w:szCs w:val="20"/>
          <w:lang w:eastAsia="ru-RU" w:bidi="ru-RU"/>
        </w:rPr>
        <w:t>эт — абсолютное значение погрешности РЭ ДВ соответственно (значения из руководства по эксплуатации РЭ ДВ).</w:t>
      </w:r>
    </w:p>
    <w:p>
      <w:pPr>
        <w:pStyle w:val="ListParagraph"/>
        <w:widowControl w:val="false"/>
        <w:numPr>
          <w:ilvl w:val="3"/>
          <w:numId w:val="4"/>
        </w:numPr>
        <w:spacing w:lineRule="auto" w:line="240" w:before="0" w:after="80"/>
        <w:ind w:left="0" w:firstLine="567"/>
        <w:contextualSpacing/>
        <w:jc w:val="both"/>
        <w:rPr>
          <w:rFonts w:ascii="Arial" w:hAnsi="Arial" w:eastAsia="Arial" w:cs="Arial"/>
          <w:sz w:val="20"/>
          <w:szCs w:val="20"/>
          <w:lang w:eastAsia="ru-RU" w:bidi="ru-RU"/>
        </w:rPr>
      </w:pPr>
      <w:r>
        <w:rPr>
          <w:rFonts w:eastAsia="Arial" w:cs="Arial" w:ascii="Arial" w:hAnsi="Arial"/>
          <w:sz w:val="20"/>
          <w:szCs w:val="20"/>
          <w:lang w:eastAsia="ru-RU" w:bidi="ru-RU"/>
        </w:rPr>
        <w:t>Результаты поверки считают положительными, если анализатор спектра позволяет выполнять измерения крайних значений длин волн, а максимальное значение абсолютной погрешности измерения длин волн (как для значений пиков поглощения ацетилена, так и для лазерных излучателей) не превышает допустимых пределов, указанных в руководстве по эксплуатации анализатора спектра.</w:t>
      </w:r>
    </w:p>
    <w:p>
      <w:pPr>
        <w:pStyle w:val="ListParagraph"/>
        <w:widowControl w:val="false"/>
        <w:spacing w:lineRule="auto" w:line="240" w:before="0" w:after="80"/>
        <w:ind w:left="567" w:hanging="298"/>
        <w:contextualSpacing/>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widowControl w:val="false"/>
        <w:numPr>
          <w:ilvl w:val="2"/>
          <w:numId w:val="9"/>
        </w:numPr>
        <w:spacing w:lineRule="auto" w:line="240" w:before="0" w:after="180"/>
        <w:ind w:left="0" w:firstLine="556"/>
        <w:contextualSpacing w:val="false"/>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Определение динамического диапазона и основной абсолютной погрешности измерения средней мощности излучения</w:t>
      </w:r>
    </w:p>
    <w:p>
      <w:pPr>
        <w:pStyle w:val="ListParagraph"/>
        <w:widowControl w:val="false"/>
        <w:numPr>
          <w:ilvl w:val="3"/>
          <w:numId w:val="9"/>
        </w:numPr>
        <w:spacing w:lineRule="auto" w:line="240" w:before="0" w:after="80"/>
        <w:ind w:left="0" w:firstLine="567"/>
        <w:contextualSpacing/>
        <w:jc w:val="both"/>
        <w:rPr>
          <w:rFonts w:ascii="Arial" w:hAnsi="Arial" w:eastAsia="Arial" w:cs="Arial"/>
          <w:sz w:val="20"/>
          <w:szCs w:val="20"/>
          <w:lang w:eastAsia="ru-RU" w:bidi="ru-RU"/>
        </w:rPr>
      </w:pPr>
      <w:r>
        <w:rPr>
          <w:rFonts w:eastAsia="Arial" w:cs="Arial" w:ascii="Arial" w:hAnsi="Arial"/>
          <w:sz w:val="20"/>
          <w:szCs w:val="20"/>
          <w:lang w:eastAsia="ru-RU" w:bidi="ru-RU"/>
        </w:rPr>
        <w:t>Определение динамического диапазона проводят на длинах волн 1310 и 1550 нм, излучаемых одночастотными полупроводниковыми лазерами РЭ ДВ.</w:t>
      </w:r>
    </w:p>
    <w:p>
      <w:pPr>
        <w:pStyle w:val="Style29"/>
        <w:ind w:left="440" w:right="-413" w:hanging="298"/>
        <w:rPr>
          <w:sz w:val="20"/>
          <w:szCs w:val="20"/>
          <w:lang w:eastAsia="ru-RU" w:bidi="ru-RU"/>
        </w:rPr>
      </w:pPr>
      <w:r>
        <w:rPr>
          <w:sz w:val="20"/>
          <w:szCs w:val="20"/>
          <w:lang w:eastAsia="ru-RU" w:bidi="ru-RU"/>
        </w:rPr>
        <w:t xml:space="preserve">Собирают схему, приведенную на рисунке 1. </w:t>
      </w:r>
    </w:p>
    <w:p>
      <w:pPr>
        <w:pStyle w:val="Style29"/>
        <w:ind w:left="440" w:right="-413" w:hanging="298"/>
        <w:rPr>
          <w:sz w:val="20"/>
          <w:szCs w:val="20"/>
          <w:lang w:eastAsia="ru-RU" w:bidi="ru-RU"/>
        </w:rPr>
      </w:pPr>
      <w:r>
        <w:rPr>
          <w:sz w:val="20"/>
          <w:szCs w:val="20"/>
          <w:lang w:eastAsia="ru-RU" w:bidi="ru-RU"/>
        </w:rPr>
      </w:r>
    </w:p>
    <w:p>
      <w:pPr>
        <w:pStyle w:val="Style29"/>
        <w:ind w:left="440" w:right="-413" w:hanging="298"/>
        <w:rPr>
          <w:sz w:val="20"/>
          <w:szCs w:val="20"/>
          <w:lang w:eastAsia="ru-RU" w:bidi="ru-RU"/>
        </w:rPr>
      </w:pPr>
      <w:r>
        <w:rPr>
          <w:sz w:val="20"/>
          <w:szCs w:val="20"/>
          <w:lang w:eastAsia="ru-RU" w:bidi="ru-RU"/>
        </w:rPr>
      </w:r>
    </w:p>
    <w:p>
      <w:pPr>
        <w:pStyle w:val="Style29"/>
        <w:ind w:left="440" w:right="-413" w:hanging="298"/>
        <w:jc w:val="center"/>
        <w:rPr>
          <w:sz w:val="20"/>
          <w:szCs w:val="20"/>
          <w:lang w:eastAsia="ru-RU" w:bidi="ru-RU"/>
        </w:rPr>
      </w:pPr>
      <w:r>
        <w:rPr/>
        <w:drawing>
          <wp:inline distT="0" distB="0" distL="0" distR="0">
            <wp:extent cx="4928870" cy="1506855"/>
            <wp:effectExtent l="0" t="0" r="0" b="0"/>
            <wp:docPr id="16"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4" descr=""/>
                    <pic:cNvPicPr>
                      <a:picLocks noChangeAspect="1" noChangeArrowheads="1"/>
                    </pic:cNvPicPr>
                  </pic:nvPicPr>
                  <pic:blipFill>
                    <a:blip r:embed="rId9"/>
                    <a:stretch>
                      <a:fillRect/>
                    </a:stretch>
                  </pic:blipFill>
                  <pic:spPr bwMode="auto">
                    <a:xfrm>
                      <a:off x="0" y="0"/>
                      <a:ext cx="4928870" cy="1506855"/>
                    </a:xfrm>
                    <a:prstGeom prst="rect">
                      <a:avLst/>
                    </a:prstGeom>
                  </pic:spPr>
                </pic:pic>
              </a:graphicData>
            </a:graphic>
          </wp:inline>
        </w:drawing>
      </w:r>
    </w:p>
    <w:p>
      <w:pPr>
        <w:pStyle w:val="Style29"/>
        <w:rPr>
          <w:i/>
          <w:i/>
          <w:iCs/>
          <w:color w:val="000000"/>
        </w:rPr>
      </w:pPr>
      <w:r>
        <w:rPr>
          <w:i/>
          <w:iCs/>
          <w:color w:val="000000"/>
        </w:rPr>
      </w:r>
    </w:p>
    <w:p>
      <w:pPr>
        <w:pStyle w:val="Style29"/>
        <w:jc w:val="both"/>
        <w:rPr>
          <w:color w:val="000000"/>
          <w:sz w:val="20"/>
          <w:szCs w:val="20"/>
        </w:rPr>
      </w:pPr>
      <w:r>
        <w:rPr>
          <w:i/>
          <w:iCs/>
          <w:color w:val="000000"/>
          <w:sz w:val="20"/>
          <w:szCs w:val="20"/>
        </w:rPr>
        <w:t>1 —</w:t>
      </w:r>
      <w:r>
        <w:rPr>
          <w:color w:val="000000"/>
          <w:sz w:val="20"/>
          <w:szCs w:val="20"/>
        </w:rPr>
        <w:t xml:space="preserve"> полупроводниковый лазер (длина волны излучения 1310 или 1550 нм); 2— оптический кабель; </w:t>
      </w:r>
      <w:r>
        <w:rPr>
          <w:i/>
          <w:iCs/>
          <w:color w:val="000000"/>
          <w:sz w:val="20"/>
          <w:szCs w:val="20"/>
        </w:rPr>
        <w:t>3 —</w:t>
      </w:r>
      <w:r>
        <w:rPr>
          <w:color w:val="000000"/>
          <w:sz w:val="20"/>
          <w:szCs w:val="20"/>
        </w:rPr>
        <w:t xml:space="preserve"> аттенюатор;</w:t>
      </w:r>
      <w:r>
        <w:rPr>
          <w:i/>
          <w:iCs/>
          <w:color w:val="000000"/>
          <w:sz w:val="20"/>
          <w:szCs w:val="20"/>
        </w:rPr>
        <w:t xml:space="preserve"> 4 —</w:t>
      </w:r>
      <w:r>
        <w:rPr>
          <w:color w:val="000000"/>
          <w:sz w:val="20"/>
          <w:szCs w:val="20"/>
        </w:rPr>
        <w:t xml:space="preserve"> оптический разветвитель; </w:t>
      </w:r>
      <w:r>
        <w:rPr>
          <w:i/>
          <w:iCs/>
          <w:color w:val="000000"/>
          <w:sz w:val="20"/>
          <w:szCs w:val="20"/>
        </w:rPr>
        <w:t>5 —</w:t>
      </w:r>
      <w:r>
        <w:rPr>
          <w:color w:val="000000"/>
          <w:sz w:val="20"/>
          <w:szCs w:val="20"/>
        </w:rPr>
        <w:t xml:space="preserve"> поверяемый оптический анализатор спектра; </w:t>
      </w:r>
      <w:r>
        <w:rPr>
          <w:i/>
          <w:iCs/>
          <w:color w:val="000000"/>
          <w:sz w:val="20"/>
          <w:szCs w:val="20"/>
        </w:rPr>
        <w:t>6 —</w:t>
      </w:r>
      <w:r>
        <w:rPr>
          <w:color w:val="000000"/>
          <w:sz w:val="20"/>
          <w:szCs w:val="20"/>
        </w:rPr>
        <w:t xml:space="preserve"> РЭСМ-В.</w:t>
      </w:r>
    </w:p>
    <w:p>
      <w:pPr>
        <w:pStyle w:val="Style29"/>
        <w:jc w:val="both"/>
        <w:rPr>
          <w:color w:val="000000"/>
          <w:sz w:val="20"/>
          <w:szCs w:val="20"/>
        </w:rPr>
      </w:pPr>
      <w:r>
        <w:rPr>
          <w:color w:val="000000"/>
          <w:sz w:val="20"/>
          <w:szCs w:val="20"/>
        </w:rPr>
      </w:r>
    </w:p>
    <w:p>
      <w:pPr>
        <w:pStyle w:val="Style29"/>
        <w:jc w:val="center"/>
        <w:rPr>
          <w:color w:val="000000"/>
          <w:sz w:val="20"/>
          <w:szCs w:val="20"/>
        </w:rPr>
      </w:pPr>
      <w:r>
        <w:rPr>
          <w:color w:val="000000"/>
          <w:sz w:val="20"/>
          <w:szCs w:val="20"/>
        </w:rPr>
        <w:t>Рисунок 1 — Блок-схема установки для определения динамического диапазона и погрешности измерения средней мощности излучения.</w:t>
      </w:r>
    </w:p>
    <w:p>
      <w:pPr>
        <w:pStyle w:val="Style29"/>
        <w:jc w:val="center"/>
        <w:rPr>
          <w:color w:val="000000"/>
          <w:sz w:val="20"/>
          <w:szCs w:val="20"/>
        </w:rPr>
      </w:pPr>
      <w:r>
        <w:rPr>
          <w:color w:val="000000"/>
          <w:sz w:val="20"/>
          <w:szCs w:val="20"/>
        </w:rPr>
      </w:r>
    </w:p>
    <w:p>
      <w:pPr>
        <w:pStyle w:val="Normal"/>
        <w:widowControl w:val="false"/>
        <w:spacing w:lineRule="auto" w:line="268" w:before="0" w:after="0"/>
        <w:ind w:left="440" w:firstLine="480"/>
        <w:jc w:val="both"/>
        <w:rPr>
          <w:rFonts w:ascii="Arial" w:hAnsi="Arial" w:eastAsia="Arial" w:cs="Arial"/>
          <w:color w:val="000000"/>
          <w:sz w:val="17"/>
          <w:szCs w:val="17"/>
          <w:lang w:eastAsia="ru-RU" w:bidi="ru-RU"/>
        </w:rPr>
      </w:pPr>
      <w:r>
        <w:rPr>
          <w:rFonts w:eastAsia="Arial" w:cs="Arial" w:ascii="Arial" w:hAnsi="Arial"/>
          <w:color w:val="000000"/>
          <w:sz w:val="17"/>
          <w:szCs w:val="17"/>
          <w:lang w:eastAsia="ru-RU" w:bidi="ru-RU"/>
        </w:rPr>
      </w:r>
    </w:p>
    <w:p>
      <w:pPr>
        <w:pStyle w:val="Normal"/>
        <w:widowControl w:val="false"/>
        <w:spacing w:lineRule="auto" w:line="240" w:before="0" w:after="0"/>
        <w:ind w:left="440" w:firstLine="48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 xml:space="preserve">Регулируя ослабление посредством аттенюатора </w:t>
      </w:r>
      <w:r>
        <w:rPr>
          <w:rFonts w:eastAsia="Arial" w:cs="Arial" w:ascii="Arial" w:hAnsi="Arial"/>
          <w:i/>
          <w:iCs/>
          <w:color w:val="000000"/>
          <w:sz w:val="20"/>
          <w:szCs w:val="20"/>
          <w:lang w:eastAsia="ru-RU" w:bidi="ru-RU"/>
        </w:rPr>
        <w:t>3</w:t>
      </w:r>
      <w:r>
        <w:rPr>
          <w:rFonts w:eastAsia="Arial" w:cs="Arial" w:ascii="Arial" w:hAnsi="Arial"/>
          <w:color w:val="000000"/>
          <w:sz w:val="20"/>
          <w:szCs w:val="20"/>
          <w:lang w:eastAsia="ru-RU" w:bidi="ru-RU"/>
        </w:rPr>
        <w:t xml:space="preserve"> с шагом 3 — 5 дБ так, чтобы измеряемое зна</w:t>
        <w:softHyphen/>
        <w:t xml:space="preserve">чение средней мощности излучения полупроводникового лазера </w:t>
      </w:r>
      <w:r>
        <w:rPr>
          <w:rFonts w:eastAsia="Arial" w:cs="Arial" w:ascii="Arial" w:hAnsi="Arial"/>
          <w:i/>
          <w:iCs/>
          <w:color w:val="000000"/>
          <w:sz w:val="20"/>
          <w:szCs w:val="20"/>
          <w:lang w:eastAsia="ru-RU" w:bidi="ru-RU"/>
        </w:rPr>
        <w:t>1</w:t>
      </w:r>
      <w:r>
        <w:rPr>
          <w:rFonts w:eastAsia="Arial" w:cs="Arial" w:ascii="Arial" w:hAnsi="Arial"/>
          <w:color w:val="000000"/>
          <w:sz w:val="20"/>
          <w:szCs w:val="20"/>
          <w:lang w:eastAsia="ru-RU" w:bidi="ru-RU"/>
        </w:rPr>
        <w:t xml:space="preserve"> (в максимуме распределения интен</w:t>
        <w:softHyphen/>
        <w:t>сивности) лежало в диапазоне от максимального до минимального значения, измеряемого анализатором спектра, проводят измерение длины волны с помощью поверяемого анализатора спектра в соответствии с 4.7.4.4 — 4.7.4.6 Значение ослабления одновременно регистрируется РЭСМ-В. За динамический диапазон принимают полученное максимальное значение изменения мощности, при ко</w:t>
        <w:softHyphen/>
        <w:t>тором полученное отклонение значения длины волны от значения длины волны, воспроизводимого на РЭ ДВ, не превышает значения погрешности измерения длины волны, указанного в руководстве по эксплуатации анализатора спектра.</w:t>
      </w:r>
    </w:p>
    <w:p>
      <w:pPr>
        <w:pStyle w:val="ListParagraph"/>
        <w:widowControl w:val="false"/>
        <w:numPr>
          <w:ilvl w:val="3"/>
          <w:numId w:val="9"/>
        </w:numPr>
        <w:spacing w:lineRule="auto" w:line="240" w:before="0" w:after="0"/>
        <w:ind w:left="0" w:firstLine="567"/>
        <w:contextualSpacing/>
        <w:jc w:val="both"/>
        <w:rPr>
          <w:rFonts w:ascii="Arial" w:hAnsi="Arial" w:eastAsia="Arial" w:cs="Arial"/>
          <w:sz w:val="20"/>
          <w:szCs w:val="20"/>
          <w:lang w:eastAsia="ru-RU" w:bidi="ru-RU"/>
        </w:rPr>
      </w:pPr>
      <w:bookmarkStart w:id="35" w:name="bookmark91"/>
      <w:bookmarkEnd w:id="35"/>
      <w:r>
        <w:rPr>
          <w:rFonts w:eastAsia="Arial" w:cs="Arial" w:ascii="Arial" w:hAnsi="Arial"/>
          <w:color w:val="000000"/>
          <w:sz w:val="20"/>
          <w:szCs w:val="20"/>
          <w:lang w:eastAsia="ru-RU" w:bidi="ru-RU"/>
        </w:rPr>
        <w:t xml:space="preserve">Для определения основной абсолютной погрешности измерения средней мощности излучения проводят измерение средней мощности для излучателей с длинами волн 1310 и 1550 нм при уровне мощности, указанном в спецификации руководства по эксплуатации анализатора спектра. Одновременно измерение мощности проводят с помощью ваттметра из состава РЭСМ-В. Определяют среднее значение мощности </w:t>
      </w:r>
      <w:r>
        <w:rPr>
          <w:rFonts w:eastAsia="Arial" w:cs="Arial" w:ascii="Arial" w:hAnsi="Arial"/>
          <w:i/>
          <w:iCs/>
          <w:color w:val="000000"/>
          <w:sz w:val="20"/>
          <w:szCs w:val="20"/>
          <w:lang w:eastAsia="ru-RU" w:bidi="ru-RU"/>
        </w:rPr>
        <w:t>Р</w:t>
      </w:r>
      <w:r>
        <w:rPr>
          <w:rFonts w:eastAsia="Arial" w:cs="Arial" w:ascii="Arial" w:hAnsi="Arial"/>
          <w:color w:val="000000"/>
          <w:sz w:val="20"/>
          <w:szCs w:val="20"/>
          <w:lang w:eastAsia="ru-RU" w:bidi="ru-RU"/>
        </w:rPr>
        <w:t xml:space="preserve"> по показаниям поверяемого анализатора спектра и РЭСМ-В по формулам.</w:t>
      </w:r>
    </w:p>
    <w:p>
      <w:pPr>
        <w:pStyle w:val="Style29"/>
        <w:ind w:left="440" w:firstLine="3119"/>
        <w:jc w:val="center"/>
        <w:rPr>
          <w:sz w:val="20"/>
          <w:szCs w:val="20"/>
        </w:rPr>
      </w:pPr>
      <w:r>
        <w:rPr/>
        <w:drawing>
          <wp:inline distT="0" distB="0" distL="0" distR="0">
            <wp:extent cx="2350135" cy="639445"/>
            <wp:effectExtent l="0" t="0" r="0" b="0"/>
            <wp:docPr id="17"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5" descr=""/>
                    <pic:cNvPicPr>
                      <a:picLocks noChangeAspect="1" noChangeArrowheads="1"/>
                    </pic:cNvPicPr>
                  </pic:nvPicPr>
                  <pic:blipFill>
                    <a:blip r:embed="rId10"/>
                    <a:stretch>
                      <a:fillRect/>
                    </a:stretch>
                  </pic:blipFill>
                  <pic:spPr bwMode="auto">
                    <a:xfrm>
                      <a:off x="0" y="0"/>
                      <a:ext cx="2350135" cy="639445"/>
                    </a:xfrm>
                    <a:prstGeom prst="rect">
                      <a:avLst/>
                    </a:prstGeom>
                  </pic:spPr>
                </pic:pic>
              </a:graphicData>
            </a:graphic>
          </wp:inline>
        </w:drawing>
      </w:r>
      <w:r>
        <w:rPr>
          <w:sz w:val="20"/>
          <w:szCs w:val="20"/>
        </w:rPr>
        <w:t xml:space="preserve">                                       </w:t>
      </w:r>
      <w:r>
        <w:rPr>
          <w:sz w:val="20"/>
          <w:szCs w:val="20"/>
        </w:rPr>
        <w:t>(4)</w:t>
      </w:r>
    </w:p>
    <w:p>
      <w:pPr>
        <w:pStyle w:val="Style29"/>
        <w:ind w:left="440" w:firstLine="3119"/>
        <w:jc w:val="both"/>
        <w:rPr>
          <w:sz w:val="20"/>
          <w:szCs w:val="20"/>
        </w:rPr>
      </w:pPr>
      <w:r>
        <w:rPr>
          <w:sz w:val="20"/>
          <w:szCs w:val="20"/>
        </w:rPr>
      </w:r>
    </w:p>
    <w:p>
      <w:pPr>
        <w:pStyle w:val="Normal"/>
        <w:widowControl w:val="false"/>
        <w:spacing w:lineRule="auto" w:line="240" w:before="0" w:after="0"/>
        <w:ind w:left="851" w:hanging="298"/>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 xml:space="preserve">где </w:t>
      </w:r>
      <w:r>
        <w:rPr>
          <w:rFonts w:eastAsia="Arial" w:cs="Arial" w:ascii="Arial" w:hAnsi="Arial"/>
          <w:smallCaps/>
          <w:color w:val="000000"/>
          <w:sz w:val="20"/>
          <w:szCs w:val="20"/>
          <w:lang w:eastAsia="ru-RU" w:bidi="ru-RU"/>
        </w:rPr>
        <w:t>Р</w:t>
      </w:r>
      <w:r>
        <w:rPr>
          <w:rFonts w:eastAsia="Arial" w:cs="Arial" w:ascii="Arial" w:hAnsi="Arial"/>
          <w:smallCaps/>
          <w:color w:val="000000"/>
          <w:sz w:val="20"/>
          <w:szCs w:val="20"/>
          <w:vertAlign w:val="subscript"/>
          <w:lang w:eastAsia="ru-RU" w:bidi="ru-RU"/>
        </w:rPr>
        <w:t>ас,</w:t>
      </w:r>
      <w:r>
        <w:rPr>
          <w:rFonts w:eastAsia="Arial" w:cs="Arial" w:ascii="Arial" w:hAnsi="Arial"/>
          <w:smallCaps/>
          <w:color w:val="000000"/>
          <w:sz w:val="20"/>
          <w:szCs w:val="20"/>
          <w:vertAlign w:val="subscript"/>
          <w:lang w:val="en-US" w:eastAsia="ru-RU" w:bidi="ru-RU"/>
        </w:rPr>
        <w:t>i</w:t>
      </w:r>
      <w:r>
        <w:rPr>
          <w:rFonts w:eastAsia="Arial" w:cs="Arial" w:ascii="Arial" w:hAnsi="Arial"/>
          <w:smallCaps/>
          <w:color w:val="000000"/>
          <w:sz w:val="20"/>
          <w:szCs w:val="20"/>
          <w:vertAlign w:val="subscript"/>
          <w:lang w:eastAsia="ru-RU" w:bidi="ru-RU"/>
        </w:rPr>
        <w:t xml:space="preserve"> </w:t>
      </w:r>
      <w:r>
        <w:rPr>
          <w:rFonts w:eastAsia="Arial" w:cs="Arial" w:ascii="Arial" w:hAnsi="Arial"/>
          <w:color w:val="000000"/>
          <w:sz w:val="20"/>
          <w:szCs w:val="20"/>
          <w:lang w:eastAsia="ru-RU" w:bidi="ru-RU"/>
        </w:rPr>
        <w:t xml:space="preserve">— значение мощности, полученное в результате </w:t>
      </w:r>
      <w:r>
        <w:rPr>
          <w:rFonts w:eastAsia="Arial" w:cs="Arial" w:ascii="Arial" w:hAnsi="Arial"/>
          <w:color w:val="000000"/>
          <w:sz w:val="20"/>
          <w:szCs w:val="20"/>
          <w:lang w:val="en-US" w:eastAsia="ru-RU" w:bidi="ru-RU"/>
        </w:rPr>
        <w:t>i</w:t>
      </w:r>
      <w:r>
        <w:rPr>
          <w:rFonts w:eastAsia="Arial" w:cs="Arial" w:ascii="Arial" w:hAnsi="Arial"/>
          <w:color w:val="000000"/>
          <w:sz w:val="20"/>
          <w:szCs w:val="20"/>
          <w:lang w:eastAsia="ru-RU" w:bidi="ru-RU"/>
        </w:rPr>
        <w:t>-го измерения с помощью поверяемого анализатора спектра;</w:t>
      </w:r>
    </w:p>
    <w:p>
      <w:pPr>
        <w:pStyle w:val="Normal"/>
        <w:widowControl w:val="false"/>
        <w:spacing w:lineRule="auto" w:line="240" w:before="0" w:after="0"/>
        <w:ind w:left="1276" w:hanging="298"/>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Р</w:t>
      </w:r>
      <w:r>
        <w:rPr>
          <w:rFonts w:eastAsia="Arial" w:cs="Arial" w:ascii="Arial" w:hAnsi="Arial"/>
          <w:color w:val="000000"/>
          <w:sz w:val="20"/>
          <w:szCs w:val="20"/>
          <w:vertAlign w:val="subscript"/>
          <w:lang w:eastAsia="ru-RU" w:bidi="ru-RU"/>
        </w:rPr>
        <w:t>рэ,</w:t>
      </w:r>
      <w:r>
        <w:rPr>
          <w:rFonts w:eastAsia="Arial" w:cs="Arial" w:ascii="Arial" w:hAnsi="Arial"/>
          <w:color w:val="000000"/>
          <w:sz w:val="20"/>
          <w:szCs w:val="20"/>
          <w:vertAlign w:val="subscript"/>
          <w:lang w:val="en-US" w:eastAsia="ru-RU" w:bidi="ru-RU"/>
        </w:rPr>
        <w:t>i</w:t>
      </w:r>
      <w:r>
        <w:rPr>
          <w:rFonts w:eastAsia="Arial" w:cs="Arial" w:ascii="Arial" w:hAnsi="Arial"/>
          <w:color w:val="000000"/>
          <w:sz w:val="20"/>
          <w:szCs w:val="20"/>
          <w:vertAlign w:val="subscript"/>
          <w:lang w:eastAsia="ru-RU" w:bidi="ru-RU"/>
        </w:rPr>
        <w:t xml:space="preserve"> </w:t>
      </w:r>
      <w:r>
        <w:rPr>
          <w:rFonts w:eastAsia="Arial" w:cs="Arial" w:ascii="Arial" w:hAnsi="Arial"/>
          <w:color w:val="000000"/>
          <w:sz w:val="20"/>
          <w:szCs w:val="20"/>
          <w:lang w:eastAsia="ru-RU" w:bidi="ru-RU"/>
        </w:rPr>
        <w:t xml:space="preserve">— значение мощности, полученное в результате </w:t>
      </w:r>
      <w:r>
        <w:rPr>
          <w:rFonts w:eastAsia="Arial" w:cs="Arial" w:ascii="Arial" w:hAnsi="Arial"/>
          <w:color w:val="000000"/>
          <w:sz w:val="20"/>
          <w:szCs w:val="20"/>
          <w:lang w:val="en-US" w:eastAsia="ru-RU" w:bidi="ru-RU"/>
        </w:rPr>
        <w:t>i</w:t>
      </w:r>
      <w:r>
        <w:rPr>
          <w:rFonts w:eastAsia="Arial" w:cs="Arial" w:ascii="Arial" w:hAnsi="Arial"/>
          <w:color w:val="000000"/>
          <w:sz w:val="20"/>
          <w:szCs w:val="20"/>
          <w:lang w:eastAsia="ru-RU" w:bidi="ru-RU"/>
        </w:rPr>
        <w:t>-го измерения с помощью РЭСМ.</w:t>
      </w:r>
    </w:p>
    <w:p>
      <w:pPr>
        <w:pStyle w:val="Normal"/>
        <w:widowControl w:val="false"/>
        <w:spacing w:lineRule="auto" w:line="240" w:before="0" w:after="26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Рассчитывают среднее квадратичное отклонение результата измерений S по формуле:</w:t>
      </w:r>
    </w:p>
    <w:p>
      <w:pPr>
        <w:pStyle w:val="Normal"/>
        <w:widowControl w:val="false"/>
        <w:spacing w:lineRule="auto" w:line="240" w:before="0" w:after="260"/>
        <w:ind w:left="440" w:firstLine="4253"/>
        <w:jc w:val="both"/>
        <w:rPr>
          <w:rFonts w:ascii="Arial" w:hAnsi="Arial" w:eastAsia="Arial" w:cs="Arial"/>
          <w:color w:val="000000"/>
          <w:sz w:val="20"/>
          <w:szCs w:val="20"/>
          <w:lang w:eastAsia="ru-RU" w:bidi="ru-RU"/>
        </w:rPr>
      </w:pPr>
      <w:r>
        <w:rPr/>
        <w:drawing>
          <wp:inline distT="0" distB="0" distL="0" distR="0">
            <wp:extent cx="1310640" cy="625475"/>
            <wp:effectExtent l="0" t="0" r="0" b="0"/>
            <wp:docPr id="18"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6" descr=""/>
                    <pic:cNvPicPr>
                      <a:picLocks noChangeAspect="1" noChangeArrowheads="1"/>
                    </pic:cNvPicPr>
                  </pic:nvPicPr>
                  <pic:blipFill>
                    <a:blip r:embed="rId11"/>
                    <a:stretch>
                      <a:fillRect/>
                    </a:stretch>
                  </pic:blipFill>
                  <pic:spPr bwMode="auto">
                    <a:xfrm>
                      <a:off x="0" y="0"/>
                      <a:ext cx="1310640" cy="625475"/>
                    </a:xfrm>
                    <a:prstGeom prst="rect">
                      <a:avLst/>
                    </a:prstGeom>
                  </pic:spPr>
                </pic:pic>
              </a:graphicData>
            </a:graphic>
          </wp:inline>
        </w:drawing>
      </w:r>
      <w:r>
        <w:rPr>
          <w:rFonts w:eastAsia="Arial" w:cs="Arial" w:ascii="Arial" w:hAnsi="Arial"/>
          <w:color w:val="000000"/>
          <w:sz w:val="20"/>
          <w:szCs w:val="20"/>
          <w:lang w:eastAsia="ru-RU" w:bidi="ru-RU"/>
        </w:rPr>
        <w:t xml:space="preserve">                                                    </w:t>
      </w:r>
      <w:r>
        <w:rPr>
          <w:rFonts w:eastAsia="Arial" w:cs="Arial" w:ascii="Arial" w:hAnsi="Arial"/>
          <w:color w:val="000000"/>
          <w:sz w:val="20"/>
          <w:szCs w:val="20"/>
          <w:lang w:eastAsia="ru-RU" w:bidi="ru-RU"/>
        </w:rPr>
        <w:t>(5)</w:t>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где Р</w:t>
      </w:r>
      <w:r>
        <w:rPr>
          <w:rFonts w:eastAsia="Arial" w:cs="Arial" w:ascii="Arial" w:hAnsi="Arial"/>
          <w:color w:val="000000"/>
          <w:sz w:val="20"/>
          <w:szCs w:val="20"/>
          <w:vertAlign w:val="subscript"/>
          <w:lang w:eastAsia="ru-RU" w:bidi="ru-RU"/>
        </w:rPr>
        <w:t>АС</w:t>
      </w:r>
      <w:r>
        <w:rPr>
          <w:rFonts w:eastAsia="Arial" w:cs="Arial" w:ascii="Arial" w:hAnsi="Arial"/>
          <w:color w:val="000000"/>
          <w:sz w:val="20"/>
          <w:szCs w:val="20"/>
          <w:lang w:eastAsia="ru-RU" w:bidi="ru-RU"/>
        </w:rPr>
        <w:t xml:space="preserve"> — среднее значение мощности, измеренное с помощью поверяемого анализатора спектра.</w:t>
      </w:r>
    </w:p>
    <w:p>
      <w:pPr>
        <w:pStyle w:val="Normal"/>
        <w:widowControl w:val="false"/>
        <w:spacing w:lineRule="auto" w:line="240"/>
        <w:ind w:left="440" w:firstLine="48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 xml:space="preserve">Определяют основную абсолютную погрешность </w:t>
      </w:r>
      <w:r>
        <w:rPr>
          <w:rFonts w:eastAsia="Arial" w:cs="Cambria Math" w:ascii="Cambria Math" w:hAnsi="Cambria Math"/>
          <w:color w:val="000000"/>
          <w:sz w:val="20"/>
          <w:szCs w:val="20"/>
          <w:lang w:eastAsia="ru-RU" w:bidi="ru-RU"/>
        </w:rPr>
        <w:t>△</w:t>
      </w:r>
      <w:r>
        <w:rPr>
          <w:rFonts w:eastAsia="Arial" w:cs="Arial" w:ascii="Arial" w:hAnsi="Arial"/>
          <w:color w:val="000000"/>
          <w:sz w:val="20"/>
          <w:szCs w:val="20"/>
          <w:lang w:eastAsia="ru-RU" w:bidi="ru-RU"/>
        </w:rPr>
        <w:t xml:space="preserve"> при измерении мощности излучения при доверительной вероятности </w:t>
      </w:r>
      <w:r>
        <w:rPr>
          <w:rFonts w:eastAsia="Arial" w:cs="Arial" w:ascii="Arial" w:hAnsi="Arial"/>
          <w:i/>
          <w:iCs/>
          <w:color w:val="000000"/>
          <w:sz w:val="20"/>
          <w:szCs w:val="20"/>
          <w:lang w:eastAsia="ru-RU" w:bidi="ru-RU"/>
        </w:rPr>
        <w:t>Р =</w:t>
      </w:r>
      <w:r>
        <w:rPr>
          <w:rFonts w:eastAsia="Arial" w:cs="Arial" w:ascii="Arial" w:hAnsi="Arial"/>
          <w:color w:val="000000"/>
          <w:sz w:val="20"/>
          <w:szCs w:val="20"/>
          <w:lang w:eastAsia="ru-RU" w:bidi="ru-RU"/>
        </w:rPr>
        <w:t xml:space="preserve"> 0,95 по формуле:</w:t>
      </w:r>
    </w:p>
    <w:p>
      <w:pPr>
        <w:pStyle w:val="Normal"/>
        <w:widowControl w:val="false"/>
        <w:spacing w:lineRule="auto" w:line="240"/>
        <w:ind w:left="440" w:firstLine="4111"/>
        <w:jc w:val="both"/>
        <w:rPr>
          <w:rFonts w:ascii="Arial" w:hAnsi="Arial" w:eastAsia="Arial" w:cs="Arial"/>
          <w:sz w:val="20"/>
          <w:szCs w:val="20"/>
          <w:lang w:eastAsia="ru-RU" w:bidi="ru-RU"/>
        </w:rPr>
      </w:pPr>
      <w:r>
        <w:rPr/>
        <w:drawing>
          <wp:inline distT="0" distB="0" distL="0" distR="0">
            <wp:extent cx="1493520" cy="377190"/>
            <wp:effectExtent l="0" t="0" r="0" b="0"/>
            <wp:docPr id="19"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7" descr=""/>
                    <pic:cNvPicPr>
                      <a:picLocks noChangeAspect="1" noChangeArrowheads="1"/>
                    </pic:cNvPicPr>
                  </pic:nvPicPr>
                  <pic:blipFill>
                    <a:blip r:embed="rId12"/>
                    <a:stretch>
                      <a:fillRect/>
                    </a:stretch>
                  </pic:blipFill>
                  <pic:spPr bwMode="auto">
                    <a:xfrm>
                      <a:off x="0" y="0"/>
                      <a:ext cx="1493520" cy="377190"/>
                    </a:xfrm>
                    <a:prstGeom prst="rect">
                      <a:avLst/>
                    </a:prstGeom>
                  </pic:spPr>
                </pic:pic>
              </a:graphicData>
            </a:graphic>
          </wp:inline>
        </w:drawing>
      </w:r>
      <w:r>
        <w:rPr>
          <w:rFonts w:eastAsia="Arial" w:cs="Arial" w:ascii="Arial" w:hAnsi="Arial"/>
          <w:sz w:val="20"/>
          <w:szCs w:val="20"/>
          <w:lang w:eastAsia="ru-RU" w:bidi="ru-RU"/>
        </w:rPr>
        <w:t xml:space="preserve">                                                       </w:t>
      </w:r>
      <w:r>
        <w:rPr>
          <w:rFonts w:eastAsia="Arial" w:cs="Arial" w:ascii="Arial" w:hAnsi="Arial"/>
          <w:sz w:val="20"/>
          <w:szCs w:val="20"/>
          <w:lang w:eastAsia="ru-RU" w:bidi="ru-RU"/>
        </w:rPr>
        <w:t>(6)</w:t>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 xml:space="preserve">где </w:t>
      </w:r>
      <w:r>
        <w:rPr>
          <w:rFonts w:eastAsia="Arial" w:cs="Cambria Math" w:ascii="Cambria Math" w:hAnsi="Cambria Math"/>
          <w:color w:val="000000"/>
          <w:sz w:val="20"/>
          <w:szCs w:val="20"/>
          <w:lang w:eastAsia="ru-RU" w:bidi="ru-RU"/>
        </w:rPr>
        <w:t>△</w:t>
      </w:r>
      <w:r>
        <w:rPr>
          <w:rFonts w:eastAsia="Arial" w:cs="Arial" w:ascii="Arial" w:hAnsi="Arial"/>
          <w:color w:val="000000"/>
          <w:sz w:val="20"/>
          <w:szCs w:val="20"/>
          <w:vertAlign w:val="subscript"/>
          <w:lang w:eastAsia="ru-RU" w:bidi="ru-RU"/>
        </w:rPr>
        <w:t>РЭ</w:t>
      </w:r>
      <w:r>
        <w:rPr>
          <w:rFonts w:eastAsia="Arial" w:cs="Arial" w:ascii="Arial" w:hAnsi="Arial"/>
          <w:color w:val="000000"/>
          <w:sz w:val="20"/>
          <w:szCs w:val="20"/>
          <w:lang w:eastAsia="ru-RU" w:bidi="ru-RU"/>
        </w:rPr>
        <w:t xml:space="preserve"> — погрешность РЭСМ-В (по ГОСТ 8.585);</w:t>
      </w:r>
    </w:p>
    <w:p>
      <w:pPr>
        <w:pStyle w:val="ListParagraph"/>
        <w:widowControl w:val="false"/>
        <w:numPr>
          <w:ilvl w:val="0"/>
          <w:numId w:val="5"/>
        </w:numPr>
        <w:spacing w:lineRule="auto" w:line="240" w:before="0" w:after="260"/>
        <w:contextualSpacing/>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 xml:space="preserve">— </w:t>
      </w:r>
      <w:r>
        <w:rPr>
          <w:rFonts w:eastAsia="Arial" w:cs="Arial" w:ascii="Arial" w:hAnsi="Arial"/>
          <w:color w:val="000000"/>
          <w:sz w:val="20"/>
          <w:szCs w:val="20"/>
          <w:lang w:eastAsia="ru-RU" w:bidi="ru-RU"/>
        </w:rPr>
        <w:t>неисключенная систематическая погрешность, определяемая по формуле:</w:t>
      </w:r>
    </w:p>
    <w:p>
      <w:pPr>
        <w:pStyle w:val="ListParagraph"/>
        <w:widowControl w:val="false"/>
        <w:spacing w:lineRule="auto" w:line="240" w:before="0" w:after="260"/>
        <w:ind w:left="720" w:firstLine="3391"/>
        <w:contextualSpacing/>
        <w:jc w:val="both"/>
        <w:rPr>
          <w:rFonts w:ascii="Arial" w:hAnsi="Arial" w:eastAsia="Arial" w:cs="Arial"/>
          <w:sz w:val="20"/>
          <w:szCs w:val="20"/>
          <w:lang w:eastAsia="ru-RU" w:bidi="ru-RU"/>
        </w:rPr>
      </w:pPr>
      <w:r>
        <w:rPr/>
        <w:drawing>
          <wp:inline distT="0" distB="0" distL="0" distR="0">
            <wp:extent cx="1145540" cy="505460"/>
            <wp:effectExtent l="0" t="0" r="0" b="0"/>
            <wp:docPr id="20"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8" descr=""/>
                    <pic:cNvPicPr>
                      <a:picLocks noChangeAspect="1" noChangeArrowheads="1"/>
                    </pic:cNvPicPr>
                  </pic:nvPicPr>
                  <pic:blipFill>
                    <a:blip r:embed="rId13"/>
                    <a:stretch>
                      <a:fillRect/>
                    </a:stretch>
                  </pic:blipFill>
                  <pic:spPr bwMode="auto">
                    <a:xfrm>
                      <a:off x="0" y="0"/>
                      <a:ext cx="1145540" cy="505460"/>
                    </a:xfrm>
                    <a:prstGeom prst="rect">
                      <a:avLst/>
                    </a:prstGeom>
                  </pic:spPr>
                </pic:pic>
              </a:graphicData>
            </a:graphic>
          </wp:inline>
        </w:drawing>
      </w:r>
      <w:r>
        <w:rPr>
          <w:rFonts w:eastAsia="Arial" w:cs="Arial" w:ascii="Arial" w:hAnsi="Arial"/>
          <w:sz w:val="20"/>
          <w:szCs w:val="20"/>
          <w:lang w:eastAsia="ru-RU" w:bidi="ru-RU"/>
        </w:rPr>
        <w:t xml:space="preserve">                                                                   </w:t>
      </w:r>
      <w:r>
        <w:rPr>
          <w:rFonts w:eastAsia="Arial" w:cs="Arial" w:ascii="Arial" w:hAnsi="Arial"/>
          <w:sz w:val="20"/>
          <w:szCs w:val="20"/>
          <w:lang w:eastAsia="ru-RU" w:bidi="ru-RU"/>
        </w:rPr>
        <w:t>(7)</w:t>
      </w:r>
    </w:p>
    <w:p>
      <w:pPr>
        <w:pStyle w:val="Normal"/>
        <w:widowControl w:val="false"/>
        <w:spacing w:lineRule="auto" w:line="240" w:before="0" w:after="40"/>
        <w:jc w:val="both"/>
        <w:rPr>
          <w:rFonts w:ascii="Arial" w:hAnsi="Arial" w:eastAsia="Arial" w:cs="Arial"/>
          <w:sz w:val="20"/>
          <w:szCs w:val="20"/>
          <w:lang w:eastAsia="ru-RU" w:bidi="ru-RU"/>
        </w:rPr>
      </w:pPr>
      <w:r>
        <w:rPr>
          <w:rFonts w:eastAsia="Arial" w:cs="Arial" w:ascii="Arial" w:hAnsi="Arial"/>
          <w:sz w:val="20"/>
          <w:szCs w:val="20"/>
          <w:lang w:eastAsia="ru-RU" w:bidi="ru-RU"/>
        </w:rPr>
        <w:t>где Р</w:t>
      </w:r>
      <w:r>
        <w:rPr>
          <w:rFonts w:eastAsia="Arial" w:cs="Arial" w:ascii="Arial" w:hAnsi="Arial"/>
          <w:color w:val="000000"/>
          <w:sz w:val="20"/>
          <w:szCs w:val="20"/>
          <w:vertAlign w:val="subscript"/>
          <w:lang w:eastAsia="ru-RU" w:bidi="ru-RU"/>
        </w:rPr>
        <w:t>РЭ</w:t>
      </w:r>
      <w:r>
        <w:rPr>
          <w:rFonts w:eastAsia="Arial" w:cs="Arial" w:ascii="Arial" w:hAnsi="Arial"/>
          <w:sz w:val="20"/>
          <w:szCs w:val="20"/>
          <w:lang w:eastAsia="ru-RU" w:bidi="ru-RU"/>
        </w:rPr>
        <w:t xml:space="preserve"> — среднее значение мощности, измеренное с помощью РЭСМ-В;</w:t>
      </w:r>
    </w:p>
    <w:p>
      <w:pPr>
        <w:pStyle w:val="Normal"/>
        <w:widowControl w:val="false"/>
        <w:spacing w:lineRule="auto" w:line="240" w:before="0" w:after="0"/>
        <w:ind w:left="440" w:firstLine="567"/>
        <w:jc w:val="both"/>
        <w:rPr>
          <w:rFonts w:ascii="Arial" w:hAnsi="Arial" w:eastAsia="Arial" w:cs="Arial"/>
          <w:color w:val="000000"/>
          <w:sz w:val="20"/>
          <w:szCs w:val="20"/>
          <w:lang w:eastAsia="ru-RU" w:bidi="ru-RU"/>
        </w:rPr>
      </w:pPr>
      <w:r>
        <w:rPr>
          <w:rFonts w:eastAsia="Arial" w:cs="Arial" w:ascii="Arial" w:hAnsi="Arial"/>
          <w:i/>
          <w:iCs/>
          <w:color w:val="000000"/>
          <w:sz w:val="20"/>
          <w:szCs w:val="20"/>
          <w:lang w:eastAsia="ru-RU" w:bidi="ru-RU"/>
        </w:rPr>
        <w:t>К—</w:t>
      </w:r>
      <w:r>
        <w:rPr>
          <w:rFonts w:eastAsia="Arial" w:cs="Arial" w:ascii="Arial" w:hAnsi="Arial"/>
          <w:color w:val="000000"/>
          <w:sz w:val="20"/>
          <w:szCs w:val="20"/>
          <w:lang w:eastAsia="ru-RU" w:bidi="ru-RU"/>
        </w:rPr>
        <w:t xml:space="preserve"> коэффициент деления ответвителем мощности излучения, среднее значение по результатам </w:t>
      </w:r>
      <w:r>
        <w:rPr>
          <w:rFonts w:eastAsia="Arial" w:cs="Arial" w:ascii="Arial" w:hAnsi="Arial"/>
          <w:i/>
          <w:iCs/>
          <w:color w:val="000000"/>
          <w:sz w:val="20"/>
          <w:szCs w:val="20"/>
          <w:lang w:val="en-US" w:eastAsia="ru-RU" w:bidi="ru-RU"/>
        </w:rPr>
        <w:t>n</w:t>
      </w:r>
      <w:r>
        <w:rPr>
          <w:rFonts w:eastAsia="Arial" w:cs="Arial" w:ascii="Arial" w:hAnsi="Arial"/>
          <w:i/>
          <w:iCs/>
          <w:color w:val="000000"/>
          <w:sz w:val="20"/>
          <w:szCs w:val="20"/>
          <w:lang w:eastAsia="ru-RU" w:bidi="ru-RU"/>
        </w:rPr>
        <w:t xml:space="preserve"> </w:t>
      </w:r>
      <w:r>
        <w:rPr>
          <w:rFonts w:eastAsia="Arial" w:cs="Arial" w:ascii="Arial" w:hAnsi="Arial"/>
          <w:color w:val="000000"/>
          <w:sz w:val="20"/>
          <w:szCs w:val="20"/>
          <w:lang w:eastAsia="ru-RU" w:bidi="ru-RU"/>
        </w:rPr>
        <w:t>измерений</w:t>
      </w:r>
    </w:p>
    <w:p>
      <w:pPr>
        <w:pStyle w:val="Normal"/>
        <w:widowControl w:val="false"/>
        <w:spacing w:lineRule="auto" w:line="240" w:before="0" w:after="0"/>
        <w:ind w:left="440" w:firstLine="567"/>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ind w:left="440" w:firstLine="4253"/>
        <w:jc w:val="both"/>
        <w:rPr>
          <w:rFonts w:ascii="Arial" w:hAnsi="Arial" w:cs="Arial"/>
          <w:sz w:val="20"/>
          <w:szCs w:val="20"/>
          <w14:ligatures w14:val="standardContextual"/>
        </w:rPr>
      </w:pPr>
      <w:r>
        <w:rPr>
          <w14:ligatures w14:val="standardContextual"/>
        </w:rPr>
        <w:t xml:space="preserve"> </w:t>
      </w:r>
      <w:r>
        <w:rPr/>
        <w:drawing>
          <wp:inline distT="0" distB="0" distL="0" distR="0">
            <wp:extent cx="866140" cy="593725"/>
            <wp:effectExtent l="0" t="0" r="0" b="0"/>
            <wp:docPr id="21"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9" descr=""/>
                    <pic:cNvPicPr>
                      <a:picLocks noChangeAspect="1" noChangeArrowheads="1"/>
                    </pic:cNvPicPr>
                  </pic:nvPicPr>
                  <pic:blipFill>
                    <a:blip r:embed="rId14"/>
                    <a:stretch>
                      <a:fillRect/>
                    </a:stretch>
                  </pic:blipFill>
                  <pic:spPr bwMode="auto">
                    <a:xfrm>
                      <a:off x="0" y="0"/>
                      <a:ext cx="866140" cy="593725"/>
                    </a:xfrm>
                    <a:prstGeom prst="rect">
                      <a:avLst/>
                    </a:prstGeom>
                  </pic:spPr>
                </pic:pic>
              </a:graphicData>
            </a:graphic>
          </wp:inline>
        </w:drawing>
      </w:r>
      <w:r>
        <w:rPr>
          <w14:ligatures w14:val="standardContextual"/>
        </w:rPr>
        <w:t xml:space="preserve">                                                                        </w:t>
      </w:r>
      <w:r>
        <w:rPr>
          <w14:ligatures w14:val="standardContextual"/>
        </w:rPr>
        <w:t>(8)</w:t>
      </w:r>
    </w:p>
    <w:p>
      <w:pPr>
        <w:pStyle w:val="Normal"/>
        <w:widowControl w:val="false"/>
        <w:spacing w:lineRule="auto" w:line="240" w:before="0" w:after="540"/>
        <w:ind w:left="440" w:firstLine="4395"/>
        <w:jc w:val="both"/>
        <w:rPr>
          <w:rFonts w:ascii="Arial" w:hAnsi="Arial" w:eastAsia="Arial" w:cs="Arial"/>
          <w:color w:val="000000"/>
          <w:sz w:val="20"/>
          <w:szCs w:val="20"/>
          <w:lang w:eastAsia="ru-RU" w:bidi="ru-RU"/>
        </w:rPr>
      </w:pPr>
      <w:r>
        <w:rPr/>
        <w:drawing>
          <wp:inline distT="0" distB="0" distL="0" distR="0">
            <wp:extent cx="843915" cy="457200"/>
            <wp:effectExtent l="0" t="0" r="0" b="0"/>
            <wp:docPr id="22"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10" descr=""/>
                    <pic:cNvPicPr>
                      <a:picLocks noChangeAspect="1" noChangeArrowheads="1"/>
                    </pic:cNvPicPr>
                  </pic:nvPicPr>
                  <pic:blipFill>
                    <a:blip r:embed="rId15"/>
                    <a:stretch>
                      <a:fillRect/>
                    </a:stretch>
                  </pic:blipFill>
                  <pic:spPr bwMode="auto">
                    <a:xfrm>
                      <a:off x="0" y="0"/>
                      <a:ext cx="843915" cy="457200"/>
                    </a:xfrm>
                    <a:prstGeom prst="rect">
                      <a:avLst/>
                    </a:prstGeom>
                  </pic:spPr>
                </pic:pic>
              </a:graphicData>
            </a:graphic>
          </wp:inline>
        </w:drawing>
      </w:r>
      <w:r>
        <w:rPr>
          <w:rFonts w:eastAsia="Arial" w:cs="Arial" w:ascii="Arial" w:hAnsi="Arial"/>
          <w:color w:val="000000"/>
          <w:sz w:val="20"/>
          <w:szCs w:val="20"/>
          <w:lang w:eastAsia="ru-RU" w:bidi="ru-RU"/>
        </w:rPr>
        <w:t xml:space="preserve">                                                               </w:t>
      </w:r>
      <w:r>
        <w:rPr>
          <w:rFonts w:eastAsia="Arial" w:cs="Arial" w:ascii="Arial" w:hAnsi="Arial"/>
          <w:color w:val="000000"/>
          <w:sz w:val="20"/>
          <w:szCs w:val="20"/>
          <w:lang w:eastAsia="ru-RU" w:bidi="ru-RU"/>
        </w:rPr>
        <w:t>(9)</w:t>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 xml:space="preserve">где </w:t>
      </w:r>
      <w:r>
        <w:rPr>
          <w:rFonts w:eastAsia="Arial" w:cs="Arial" w:ascii="Arial" w:hAnsi="Arial"/>
          <w:color w:val="000000"/>
          <w:sz w:val="20"/>
          <w:szCs w:val="20"/>
          <w:lang w:val="en-US" w:eastAsia="ru-RU" w:bidi="ru-RU"/>
        </w:rPr>
        <w:t>K</w:t>
      </w:r>
      <w:r>
        <w:rPr>
          <w:rFonts w:eastAsia="Arial" w:cs="Arial" w:ascii="Arial" w:hAnsi="Arial"/>
          <w:color w:val="000000"/>
          <w:sz w:val="20"/>
          <w:szCs w:val="20"/>
          <w:vertAlign w:val="subscript"/>
          <w:lang w:val="en-US" w:eastAsia="ru-RU" w:bidi="ru-RU"/>
        </w:rPr>
        <w:t>i</w:t>
      </w:r>
      <w:r>
        <w:rPr>
          <w:rFonts w:eastAsia="Arial" w:cs="Arial" w:ascii="Arial" w:hAnsi="Arial"/>
          <w:i/>
          <w:iCs/>
          <w:color w:val="000000"/>
          <w:sz w:val="20"/>
          <w:szCs w:val="20"/>
          <w:lang w:eastAsia="ru-RU" w:bidi="ru-RU"/>
        </w:rPr>
        <w:t>— i-e</w:t>
      </w:r>
      <w:r>
        <w:rPr>
          <w:rFonts w:eastAsia="Arial" w:cs="Arial" w:ascii="Arial" w:hAnsi="Arial"/>
          <w:color w:val="000000"/>
          <w:sz w:val="20"/>
          <w:szCs w:val="20"/>
          <w:lang w:eastAsia="ru-RU" w:bidi="ru-RU"/>
        </w:rPr>
        <w:t xml:space="preserve"> значение коэффициента деления.</w:t>
      </w:r>
    </w:p>
    <w:p>
      <w:pPr>
        <w:pStyle w:val="ListParagraph"/>
        <w:widowControl w:val="false"/>
        <w:numPr>
          <w:ilvl w:val="3"/>
          <w:numId w:val="9"/>
        </w:numPr>
        <w:spacing w:lineRule="auto" w:line="240" w:before="0" w:after="0"/>
        <w:ind w:left="0" w:firstLine="567"/>
        <w:contextualSpacing w:val="false"/>
        <w:jc w:val="both"/>
        <w:rPr>
          <w:rFonts w:ascii="Arial" w:hAnsi="Arial" w:eastAsia="Arial" w:cs="Arial"/>
          <w:sz w:val="20"/>
          <w:szCs w:val="20"/>
          <w:lang w:eastAsia="ru-RU" w:bidi="ru-RU"/>
        </w:rPr>
      </w:pPr>
      <w:bookmarkStart w:id="36" w:name="bookmark94"/>
      <w:bookmarkEnd w:id="36"/>
      <w:r>
        <w:rPr>
          <w:rFonts w:eastAsia="Arial" w:cs="Arial" w:ascii="Arial" w:hAnsi="Arial"/>
          <w:color w:val="000000"/>
          <w:sz w:val="20"/>
          <w:szCs w:val="20"/>
          <w:lang w:eastAsia="ru-RU" w:bidi="ru-RU"/>
        </w:rPr>
        <w:t>Результаты поверки считают положительными, если полученные значения динамического диапазона и погрешности измерения мощности соответствуют значениям, указанным в руководстве по эксплуатации.</w:t>
      </w:r>
    </w:p>
    <w:p>
      <w:pPr>
        <w:pStyle w:val="Normal"/>
        <w:widowControl w:val="false"/>
        <w:tabs>
          <w:tab w:val="clear" w:pos="708"/>
          <w:tab w:val="left" w:pos="1175" w:leader="none"/>
        </w:tabs>
        <w:spacing w:lineRule="auto" w:line="240" w:before="0" w:after="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keepNext w:val="true"/>
        <w:keepLines/>
        <w:widowControl w:val="false"/>
        <w:numPr>
          <w:ilvl w:val="2"/>
          <w:numId w:val="9"/>
        </w:numPr>
        <w:tabs>
          <w:tab w:val="clear" w:pos="708"/>
          <w:tab w:val="left" w:pos="1164" w:leader="none"/>
        </w:tabs>
        <w:spacing w:lineRule="auto" w:line="240" w:before="0" w:after="0"/>
        <w:ind w:left="0" w:firstLine="567"/>
        <w:contextualSpacing w:val="false"/>
        <w:jc w:val="both"/>
        <w:outlineLvl w:val="2"/>
        <w:rPr>
          <w:rFonts w:ascii="Arial" w:hAnsi="Arial" w:eastAsia="Arial" w:cs="Arial"/>
          <w:b/>
          <w:b/>
          <w:bCs/>
          <w:sz w:val="20"/>
          <w:szCs w:val="20"/>
          <w:lang w:eastAsia="ru-RU" w:bidi="ru-RU"/>
        </w:rPr>
      </w:pPr>
      <w:bookmarkStart w:id="37" w:name="bookmark98"/>
      <w:bookmarkStart w:id="38" w:name="bookmark96"/>
      <w:bookmarkStart w:id="39" w:name="bookmark95"/>
      <w:bookmarkStart w:id="40" w:name="bookmark97"/>
      <w:bookmarkEnd w:id="40"/>
      <w:r>
        <w:rPr>
          <w:rFonts w:eastAsia="Arial" w:cs="Arial" w:ascii="Arial" w:hAnsi="Arial"/>
          <w:b/>
          <w:bCs/>
          <w:color w:val="000000"/>
          <w:sz w:val="20"/>
          <w:szCs w:val="20"/>
          <w:lang w:eastAsia="ru-RU" w:bidi="ru-RU"/>
        </w:rPr>
        <w:t>Определение разрешения по шкале длин волн</w:t>
      </w:r>
      <w:bookmarkEnd w:id="37"/>
      <w:bookmarkEnd w:id="38"/>
      <w:bookmarkEnd w:id="39"/>
    </w:p>
    <w:p>
      <w:pPr>
        <w:pStyle w:val="ListParagraph"/>
        <w:widowControl w:val="false"/>
        <w:numPr>
          <w:ilvl w:val="3"/>
          <w:numId w:val="9"/>
        </w:numPr>
        <w:tabs>
          <w:tab w:val="clear" w:pos="708"/>
          <w:tab w:val="left" w:pos="1142" w:leader="none"/>
        </w:tabs>
        <w:spacing w:lineRule="auto" w:line="240" w:before="0" w:after="0"/>
        <w:ind w:left="0" w:firstLine="567"/>
        <w:contextualSpacing w:val="false"/>
        <w:jc w:val="both"/>
        <w:rPr>
          <w:rFonts w:ascii="Arial" w:hAnsi="Arial" w:eastAsia="Arial" w:cs="Arial"/>
          <w:sz w:val="20"/>
          <w:szCs w:val="20"/>
          <w:lang w:eastAsia="ru-RU" w:bidi="ru-RU"/>
        </w:rPr>
      </w:pPr>
      <w:bookmarkStart w:id="41" w:name="bookmark99"/>
      <w:bookmarkEnd w:id="41"/>
      <w:r>
        <w:rPr>
          <w:rFonts w:eastAsia="Arial" w:cs="Arial" w:ascii="Arial" w:hAnsi="Arial"/>
          <w:color w:val="000000"/>
          <w:sz w:val="20"/>
          <w:szCs w:val="20"/>
          <w:lang w:eastAsia="ru-RU" w:bidi="ru-RU"/>
        </w:rPr>
        <w:t>Включают переключатель на лицевой панели РЭ ДВ в положение «Лазеры».</w:t>
      </w:r>
      <w:bookmarkStart w:id="42" w:name="bookmark100"/>
      <w:bookmarkEnd w:id="42"/>
    </w:p>
    <w:p>
      <w:pPr>
        <w:pStyle w:val="ListParagraph"/>
        <w:widowControl w:val="false"/>
        <w:numPr>
          <w:ilvl w:val="3"/>
          <w:numId w:val="9"/>
        </w:numPr>
        <w:tabs>
          <w:tab w:val="clear" w:pos="708"/>
          <w:tab w:val="left" w:pos="1142" w:leader="none"/>
        </w:tabs>
        <w:spacing w:lineRule="auto" w:line="240" w:before="0" w:after="0"/>
        <w:ind w:left="0" w:firstLine="567"/>
        <w:contextualSpacing w:val="false"/>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Соединяют оптическим кабелем FC/PC-FC/APC выходной разъем FC/PC канала лазера с длиной волны 1550 нм и вход поверяемого анализатора спектра.</w:t>
      </w:r>
      <w:bookmarkStart w:id="43" w:name="bookmark101"/>
      <w:bookmarkEnd w:id="43"/>
    </w:p>
    <w:p>
      <w:pPr>
        <w:pStyle w:val="ListParagraph"/>
        <w:widowControl w:val="false"/>
        <w:numPr>
          <w:ilvl w:val="3"/>
          <w:numId w:val="9"/>
        </w:numPr>
        <w:tabs>
          <w:tab w:val="clear" w:pos="708"/>
          <w:tab w:val="left" w:pos="1142" w:leader="none"/>
        </w:tabs>
        <w:spacing w:lineRule="auto" w:line="240" w:before="0" w:after="0"/>
        <w:ind w:left="0" w:firstLine="567"/>
        <w:contextualSpacing w:val="false"/>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Устанавливают на поверяемом приборе максимальное разрешение.</w:t>
      </w:r>
      <w:bookmarkStart w:id="44" w:name="bookmark102"/>
      <w:bookmarkEnd w:id="44"/>
    </w:p>
    <w:p>
      <w:pPr>
        <w:pStyle w:val="ListParagraph"/>
        <w:widowControl w:val="false"/>
        <w:numPr>
          <w:ilvl w:val="3"/>
          <w:numId w:val="9"/>
        </w:numPr>
        <w:tabs>
          <w:tab w:val="clear" w:pos="708"/>
          <w:tab w:val="left" w:pos="1142" w:leader="none"/>
        </w:tabs>
        <w:spacing w:lineRule="auto" w:line="240" w:before="0" w:after="0"/>
        <w:ind w:left="0" w:firstLine="567"/>
        <w:contextualSpacing w:val="false"/>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Измеряют ширину линии по уровню 0,5 (или -3 дБ). Измеренная ширина и есть искомое разрешение.</w:t>
      </w:r>
      <w:bookmarkStart w:id="45" w:name="bookmark103"/>
      <w:bookmarkEnd w:id="45"/>
    </w:p>
    <w:p>
      <w:pPr>
        <w:pStyle w:val="ListParagraph"/>
        <w:widowControl w:val="false"/>
        <w:numPr>
          <w:ilvl w:val="3"/>
          <w:numId w:val="9"/>
        </w:numPr>
        <w:tabs>
          <w:tab w:val="clear" w:pos="708"/>
          <w:tab w:val="left" w:pos="1142" w:leader="none"/>
        </w:tabs>
        <w:spacing w:lineRule="auto" w:line="240" w:before="0" w:after="0"/>
        <w:ind w:left="0" w:firstLine="567"/>
        <w:contextualSpacing w:val="false"/>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Результаты поверки считают положительными, если измеренная ширина линии соответствует значениям, указанным в спецификации руководства по эксплуатации поверяемого анализатора спектра.</w:t>
      </w:r>
    </w:p>
    <w:p>
      <w:pPr>
        <w:pStyle w:val="ListParagraph"/>
        <w:widowControl w:val="false"/>
        <w:tabs>
          <w:tab w:val="clear" w:pos="708"/>
          <w:tab w:val="left" w:pos="1142" w:leader="none"/>
        </w:tabs>
        <w:spacing w:lineRule="auto" w:line="240" w:before="0" w:after="0"/>
        <w:ind w:left="567" w:hanging="298"/>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keepNext w:val="true"/>
        <w:keepLines/>
        <w:widowControl w:val="false"/>
        <w:numPr>
          <w:ilvl w:val="0"/>
          <w:numId w:val="9"/>
        </w:numPr>
        <w:tabs>
          <w:tab w:val="clear" w:pos="708"/>
          <w:tab w:val="left" w:pos="785" w:leader="none"/>
        </w:tabs>
        <w:spacing w:lineRule="auto" w:line="240" w:before="0" w:after="140"/>
        <w:ind w:left="0" w:firstLine="567"/>
        <w:contextualSpacing w:val="false"/>
        <w:jc w:val="both"/>
        <w:outlineLvl w:val="1"/>
        <w:rPr>
          <w:rFonts w:ascii="Arial" w:hAnsi="Arial" w:eastAsia="Arial" w:cs="Arial"/>
          <w:b/>
          <w:b/>
          <w:bCs/>
          <w:sz w:val="24"/>
          <w:szCs w:val="24"/>
          <w:lang w:eastAsia="ru-RU" w:bidi="ru-RU"/>
        </w:rPr>
      </w:pPr>
      <w:bookmarkStart w:id="46" w:name="bookmark107"/>
      <w:bookmarkStart w:id="47" w:name="bookmark105"/>
      <w:bookmarkStart w:id="48" w:name="bookmark104"/>
      <w:bookmarkStart w:id="49" w:name="bookmark106"/>
      <w:bookmarkEnd w:id="49"/>
      <w:r>
        <w:rPr>
          <w:rFonts w:eastAsia="Arial" w:cs="Arial" w:ascii="Arial" w:hAnsi="Arial"/>
          <w:b/>
          <w:bCs/>
          <w:color w:val="000000"/>
          <w:sz w:val="24"/>
          <w:szCs w:val="24"/>
          <w:lang w:eastAsia="ru-RU" w:bidi="ru-RU"/>
        </w:rPr>
        <w:t>Оформление результатов поверки</w:t>
      </w:r>
      <w:bookmarkEnd w:id="46"/>
      <w:bookmarkEnd w:id="47"/>
      <w:bookmarkEnd w:id="48"/>
    </w:p>
    <w:p>
      <w:pPr>
        <w:pStyle w:val="Normal"/>
        <w:widowControl w:val="false"/>
        <w:tabs>
          <w:tab w:val="clear" w:pos="708"/>
          <w:tab w:val="left" w:pos="1318" w:leader="none"/>
        </w:tabs>
        <w:spacing w:lineRule="auto" w:line="240" w:before="0" w:after="200"/>
        <w:ind w:left="440" w:firstLine="567"/>
        <w:jc w:val="both"/>
        <w:rPr>
          <w:rFonts w:ascii="Arial" w:hAnsi="Arial" w:eastAsia="Arial" w:cs="Arial"/>
          <w:color w:val="000000"/>
          <w:sz w:val="20"/>
          <w:szCs w:val="20"/>
          <w:lang w:eastAsia="ru-RU" w:bidi="ru-RU"/>
        </w:rPr>
      </w:pPr>
      <w:bookmarkStart w:id="50" w:name="bookmark108"/>
      <w:bookmarkEnd w:id="50"/>
      <w:r>
        <w:rPr>
          <w:rFonts w:eastAsia="Arial" w:cs="Arial" w:ascii="Arial" w:hAnsi="Arial"/>
          <w:color w:val="000000"/>
          <w:sz w:val="20"/>
          <w:szCs w:val="20"/>
          <w:lang w:eastAsia="ru-RU" w:bidi="ru-RU"/>
        </w:rPr>
        <w:t>При положительных результатах поверки, в соответствии с заявлением владельца средства измерений или лица, представившего средство измерений, оформляется свидетельство о поверке.</w:t>
      </w:r>
    </w:p>
    <w:p>
      <w:pPr>
        <w:pStyle w:val="Normal"/>
        <w:widowControl w:val="false"/>
        <w:tabs>
          <w:tab w:val="clear" w:pos="708"/>
          <w:tab w:val="left" w:pos="1318" w:leader="none"/>
        </w:tabs>
        <w:spacing w:lineRule="auto" w:line="240" w:before="0" w:after="200"/>
        <w:ind w:left="440" w:firstLine="567"/>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При отрицательных результатах поверки, в соответствии с заявлением владельца или лица, представившего средство измерений, выдают извещение о непригодности к применению средства измерений.</w:t>
      </w:r>
    </w:p>
    <w:p>
      <w:pPr>
        <w:pStyle w:val="Normal"/>
        <w:widowControl w:val="false"/>
        <w:tabs>
          <w:tab w:val="clear" w:pos="708"/>
          <w:tab w:val="left" w:pos="1318" w:leader="none"/>
        </w:tabs>
        <w:spacing w:lineRule="auto" w:line="240" w:before="0" w:after="200"/>
        <w:ind w:left="440" w:firstLine="567"/>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Результаты измерений заносят в протокол произвольной формы, установленной в организации, производящей поверку.</w:t>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3466" w:leader="underscore"/>
        </w:tabs>
        <w:spacing w:lineRule="auto" w:line="240" w:before="0" w:after="0"/>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3466" w:leader="underscore"/>
        </w:tabs>
        <w:spacing w:lineRule="auto" w:line="240" w:before="0" w:after="0"/>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3466" w:leader="underscore"/>
        </w:tabs>
        <w:spacing w:lineRule="auto" w:line="240" w:before="0" w:after="0"/>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3466" w:leader="underscore"/>
        </w:tabs>
        <w:spacing w:lineRule="auto" w:line="240" w:before="0" w:after="0"/>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3466" w:leader="underscore"/>
        </w:tabs>
        <w:spacing w:lineRule="auto" w:line="240" w:before="0" w:after="0"/>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tbl>
      <w:tblPr>
        <w:tblW w:w="9677" w:type="dxa"/>
        <w:jc w:val="center"/>
        <w:tblInd w:w="0" w:type="dxa"/>
        <w:tblLayout w:type="fixed"/>
        <w:tblCellMar>
          <w:top w:w="0" w:type="dxa"/>
          <w:left w:w="10" w:type="dxa"/>
          <w:bottom w:w="0" w:type="dxa"/>
          <w:right w:w="10" w:type="dxa"/>
        </w:tblCellMar>
        <w:tblLook w:val="04a0" w:noHBand="0" w:noVBand="1" w:firstColumn="1" w:lastRow="0" w:lastColumn="0" w:firstRow="1"/>
      </w:tblPr>
      <w:tblGrid>
        <w:gridCol w:w="2694"/>
        <w:gridCol w:w="6982"/>
      </w:tblGrid>
      <w:tr>
        <w:trPr>
          <w:trHeight w:val="365" w:hRule="exact"/>
        </w:trPr>
        <w:tc>
          <w:tcPr>
            <w:tcW w:w="2694" w:type="dxa"/>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6982" w:type="dxa"/>
            <w:tcBorders/>
            <w:shd w:color="auto" w:fill="FFFFFF" w:val="clear"/>
          </w:tcPr>
          <w:p>
            <w:pPr>
              <w:pStyle w:val="Normal"/>
              <w:widowControl w:val="false"/>
              <w:spacing w:lineRule="auto" w:line="240" w:before="0" w:after="0"/>
              <w:jc w:val="center"/>
              <w:rPr>
                <w:rFonts w:ascii="Arial" w:hAnsi="Arial" w:eastAsia="Arial" w:cs="Arial"/>
                <w:sz w:val="24"/>
                <w:szCs w:val="24"/>
                <w:lang w:eastAsia="ru-RU" w:bidi="ru-RU"/>
              </w:rPr>
            </w:pPr>
            <w:r>
              <w:rPr>
                <w:rFonts w:eastAsia="Arial" w:cs="Arial" w:ascii="Arial" w:hAnsi="Arial"/>
                <w:b/>
                <w:bCs/>
                <w:color w:val="000000"/>
                <w:sz w:val="24"/>
                <w:szCs w:val="24"/>
                <w:lang w:eastAsia="ru-RU" w:bidi="ru-RU"/>
              </w:rPr>
              <w:t>Библиография</w:t>
            </w:r>
          </w:p>
        </w:tc>
      </w:tr>
      <w:tr>
        <w:trPr>
          <w:trHeight w:val="4229" w:hRule="exact"/>
        </w:trPr>
        <w:tc>
          <w:tcPr>
            <w:tcW w:w="2694" w:type="dxa"/>
            <w:tcBorders/>
            <w:shd w:color="auto" w:fill="FFFFFF" w:val="clear"/>
          </w:tcPr>
          <w:p>
            <w:pPr>
              <w:pStyle w:val="Normal"/>
              <w:widowControl w:val="false"/>
              <w:spacing w:lineRule="auto" w:line="240" w:before="0" w:after="0"/>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[1] ПЭУ</w:t>
            </w:r>
          </w:p>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numPr>
                <w:ilvl w:val="0"/>
                <w:numId w:val="2"/>
              </w:numPr>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numPr>
                <w:ilvl w:val="0"/>
                <w:numId w:val="2"/>
              </w:numPr>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ПОТ РМ-016—2001</w:t>
            </w:r>
            <w:r>
              <w:rPr>
                <w:rFonts w:eastAsia="Arial" w:cs="Arial" w:ascii="Arial" w:hAnsi="Arial"/>
                <w:sz w:val="20"/>
                <w:szCs w:val="20"/>
                <w:lang w:eastAsia="ru-RU" w:bidi="ru-RU"/>
              </w:rPr>
              <w:t xml:space="preserve">, </w:t>
              <w:br/>
            </w:r>
            <w:r>
              <w:rPr>
                <w:rFonts w:eastAsia="Arial" w:cs="Arial" w:ascii="Arial" w:hAnsi="Arial"/>
                <w:color w:val="000000"/>
                <w:sz w:val="20"/>
                <w:szCs w:val="20"/>
                <w:lang w:eastAsia="ru-RU" w:bidi="ru-RU"/>
              </w:rPr>
              <w:t>РД 153-34.0-03.150—2000</w:t>
              <w:br/>
            </w:r>
          </w:p>
          <w:p>
            <w:pPr>
              <w:pStyle w:val="Normal"/>
              <w:widowControl w:val="false"/>
              <w:numPr>
                <w:ilvl w:val="0"/>
                <w:numId w:val="2"/>
              </w:numPr>
              <w:tabs>
                <w:tab w:val="clear" w:pos="708"/>
                <w:tab w:val="left" w:pos="302" w:leader="none"/>
              </w:tabs>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СанПиН 5804—91</w:t>
              <w:br/>
              <w:t>94</w:t>
              <w:br/>
            </w:r>
          </w:p>
          <w:p>
            <w:pPr>
              <w:pStyle w:val="Normal"/>
              <w:widowControl w:val="false"/>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tc>
        <w:tc>
          <w:tcPr>
            <w:tcW w:w="6982" w:type="dxa"/>
            <w:tcBorders/>
            <w:shd w:color="auto" w:fill="FFFFFF" w:val="clear"/>
          </w:tcPr>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Правила устройства электроустановок. Утверждены Приказом Минэнерго РФ от 08.07.2002 г. № 204.</w:t>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Правила технической эксплуатации электроустановок потребителей. Утверждены</w:t>
            </w:r>
            <w:r>
              <w:rPr>
                <w:rFonts w:eastAsia="Arial" w:cs="Arial" w:ascii="Arial" w:hAnsi="Arial"/>
                <w:sz w:val="20"/>
                <w:szCs w:val="20"/>
                <w:lang w:eastAsia="ru-RU" w:bidi="ru-RU"/>
              </w:rPr>
              <w:t xml:space="preserve"> </w:t>
            </w:r>
            <w:r>
              <w:rPr>
                <w:rFonts w:eastAsia="Arial" w:cs="Arial" w:ascii="Arial" w:hAnsi="Arial"/>
                <w:color w:val="000000"/>
                <w:sz w:val="20"/>
                <w:szCs w:val="20"/>
                <w:lang w:eastAsia="ru-RU" w:bidi="ru-RU"/>
              </w:rPr>
              <w:t>Приказом Минэнерго РФ от 13.01.2003 г. № 6.</w:t>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Межотраслевые правила по охране труда (правила безопасности) при эксплуата</w:t>
              <w:softHyphen/>
              <w:t>ции электроустановок.</w:t>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Санитарные нормы и правила устройства и эксплуатации лазеров.</w:t>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Го</w:t>
            </w:r>
          </w:p>
        </w:tc>
      </w:tr>
    </w:tbl>
    <w:p>
      <w:pPr>
        <w:pStyle w:val="Normal"/>
        <w:widowControl w:val="false"/>
        <w:tabs>
          <w:tab w:val="clear" w:pos="708"/>
          <w:tab w:val="left" w:pos="3466" w:leader="underscor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sz w:val="17"/>
          <w:szCs w:val="17"/>
          <w:lang w:eastAsia="ru-RU" w:bidi="ru-RU"/>
        </w:rPr>
      </w:pPr>
      <w:r>
        <w:rPr/>
      </w:r>
    </w:p>
    <w:sectPr>
      <w:type w:val="continuous"/>
      <w:pgSz w:w="11906" w:h="16838"/>
      <w:pgMar w:left="1701" w:right="850" w:gutter="0" w:header="0" w:top="1134" w:footer="0" w:bottom="1134"/>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Cambria Math">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1080" w:hanging="720"/>
      </w:pPr>
      <w:rPr>
        <w:b/>
        <w:bCs/>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160" w:hanging="1800"/>
      </w:pPr>
      <w:rPr/>
    </w:lvl>
  </w:abstractNum>
  <w:abstractNum w:abstractNumId="2">
    <w:lvl w:ilvl="0">
      <w:start w:val="2"/>
      <w:numFmt w:val="decimal"/>
      <w:lvlText w:val="[%1]"/>
      <w:lvlJc w:val="left"/>
      <w:pPr>
        <w:tabs>
          <w:tab w:val="num" w:pos="0"/>
        </w:tabs>
        <w:ind w:left="0" w:hanging="0"/>
      </w:pPr>
      <w:rPr>
        <w:smallCaps w:val="false"/>
        <w:caps w:val="false"/>
        <w:dstrike w:val="false"/>
        <w:strike w:val="false"/>
        <w:sz w:val="20"/>
        <w:spacing w:val="0"/>
        <w:i w:val="false"/>
        <w:u w:val="none"/>
        <w:b w:val="false"/>
        <w:shd w:fill="auto" w:val="clear"/>
        <w:szCs w:val="20"/>
        <w:iCs w:val="false"/>
        <w:bCs w:val="false"/>
        <w:w w:val="100"/>
        <w:rFonts w:ascii="Arial" w:hAnsi="Arial" w:eastAsia="Arial" w:cs="Arial"/>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4">
    <w:lvl w:ilvl="0">
      <w:start w:val="4"/>
      <w:numFmt w:val="decimal"/>
      <w:lvlText w:val="%1"/>
      <w:lvlJc w:val="left"/>
      <w:pPr>
        <w:tabs>
          <w:tab w:val="num" w:pos="0"/>
        </w:tabs>
        <w:ind w:left="620" w:hanging="620"/>
      </w:pPr>
      <w:rPr/>
    </w:lvl>
    <w:lvl w:ilvl="1">
      <w:start w:val="7"/>
      <w:numFmt w:val="decimal"/>
      <w:lvlText w:val="%1.%2"/>
      <w:lvlJc w:val="left"/>
      <w:pPr>
        <w:tabs>
          <w:tab w:val="num" w:pos="0"/>
        </w:tabs>
        <w:ind w:left="806" w:hanging="620"/>
      </w:pPr>
      <w:rPr/>
    </w:lvl>
    <w:lvl w:ilvl="2">
      <w:start w:val="4"/>
      <w:numFmt w:val="decimal"/>
      <w:lvlText w:val="%1.%2.%3"/>
      <w:lvlJc w:val="left"/>
      <w:pPr>
        <w:tabs>
          <w:tab w:val="num" w:pos="0"/>
        </w:tabs>
        <w:ind w:left="1092" w:hanging="720"/>
      </w:pPr>
      <w:rPr/>
    </w:lvl>
    <w:lvl w:ilvl="3">
      <w:start w:val="1"/>
      <w:numFmt w:val="decimal"/>
      <w:lvlText w:val="%1.%2.%3.%4"/>
      <w:lvlJc w:val="left"/>
      <w:pPr>
        <w:tabs>
          <w:tab w:val="num" w:pos="0"/>
        </w:tabs>
        <w:ind w:left="1278" w:hanging="720"/>
      </w:pPr>
      <w:rPr/>
    </w:lvl>
    <w:lvl w:ilvl="4">
      <w:start w:val="1"/>
      <w:numFmt w:val="decimal"/>
      <w:lvlText w:val="%1.%2.%3.%4.%5"/>
      <w:lvlJc w:val="left"/>
      <w:pPr>
        <w:tabs>
          <w:tab w:val="num" w:pos="0"/>
        </w:tabs>
        <w:ind w:left="1824" w:hanging="1080"/>
      </w:pPr>
      <w:rPr/>
    </w:lvl>
    <w:lvl w:ilvl="5">
      <w:start w:val="1"/>
      <w:numFmt w:val="decimal"/>
      <w:lvlText w:val="%1.%2.%3.%4.%5.%6"/>
      <w:lvlJc w:val="left"/>
      <w:pPr>
        <w:tabs>
          <w:tab w:val="num" w:pos="0"/>
        </w:tabs>
        <w:ind w:left="2010" w:hanging="1080"/>
      </w:pPr>
      <w:rPr/>
    </w:lvl>
    <w:lvl w:ilvl="6">
      <w:start w:val="1"/>
      <w:numFmt w:val="decimal"/>
      <w:lvlText w:val="%1.%2.%3.%4.%5.%6.%7"/>
      <w:lvlJc w:val="left"/>
      <w:pPr>
        <w:tabs>
          <w:tab w:val="num" w:pos="0"/>
        </w:tabs>
        <w:ind w:left="2556" w:hanging="1440"/>
      </w:pPr>
      <w:rPr/>
    </w:lvl>
    <w:lvl w:ilvl="7">
      <w:start w:val="1"/>
      <w:numFmt w:val="decimal"/>
      <w:lvlText w:val="%1.%2.%3.%4.%5.%6.%7.%8"/>
      <w:lvlJc w:val="left"/>
      <w:pPr>
        <w:tabs>
          <w:tab w:val="num" w:pos="0"/>
        </w:tabs>
        <w:ind w:left="2742" w:hanging="1440"/>
      </w:pPr>
      <w:rPr/>
    </w:lvl>
    <w:lvl w:ilvl="8">
      <w:start w:val="1"/>
      <w:numFmt w:val="decimal"/>
      <w:lvlText w:val="%1.%2.%3.%4.%5.%6.%7.%8.%9"/>
      <w:lvlJc w:val="left"/>
      <w:pPr>
        <w:tabs>
          <w:tab w:val="num" w:pos="0"/>
        </w:tabs>
        <w:ind w:left="3288" w:hanging="1800"/>
      </w:pPr>
      <w:rPr/>
    </w:lvl>
  </w:abstractNum>
  <w:abstractNum w:abstractNumId="5">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6">
    <w:lvl w:ilvl="0">
      <w:start w:val="1"/>
      <w:numFmt w:val="decimal"/>
      <w:lvlText w:val="%1."/>
      <w:lvlJc w:val="left"/>
      <w:pPr>
        <w:tabs>
          <w:tab w:val="num" w:pos="0"/>
        </w:tabs>
        <w:ind w:left="927" w:hanging="360"/>
      </w:pPr>
      <w:rPr/>
    </w:lvl>
    <w:lvl w:ilvl="1">
      <w:start w:val="1"/>
      <w:numFmt w:val="decimal"/>
      <w:lvlText w:val="%1.%2"/>
      <w:lvlJc w:val="left"/>
      <w:pPr>
        <w:tabs>
          <w:tab w:val="num" w:pos="0"/>
        </w:tabs>
        <w:ind w:left="1211" w:hanging="360"/>
      </w:pPr>
      <w:rPr/>
    </w:lvl>
    <w:lvl w:ilvl="2">
      <w:start w:val="1"/>
      <w:numFmt w:val="decimal"/>
      <w:lvlText w:val="%1.%2.%3"/>
      <w:lvlJc w:val="left"/>
      <w:pPr>
        <w:tabs>
          <w:tab w:val="num" w:pos="0"/>
        </w:tabs>
        <w:ind w:left="1287" w:hanging="720"/>
      </w:pPr>
      <w:rPr/>
    </w:lvl>
    <w:lvl w:ilvl="3">
      <w:start w:val="1"/>
      <w:numFmt w:val="decimal"/>
      <w:lvlText w:val="%1.%2.%3.%4"/>
      <w:lvlJc w:val="left"/>
      <w:pPr>
        <w:tabs>
          <w:tab w:val="num" w:pos="0"/>
        </w:tabs>
        <w:ind w:left="1287" w:hanging="720"/>
      </w:pPr>
      <w:rPr/>
    </w:lvl>
    <w:lvl w:ilvl="4">
      <w:start w:val="1"/>
      <w:numFmt w:val="decimal"/>
      <w:lvlText w:val="%1.%2.%3.%4.%5"/>
      <w:lvlJc w:val="left"/>
      <w:pPr>
        <w:tabs>
          <w:tab w:val="num" w:pos="0"/>
        </w:tabs>
        <w:ind w:left="1647" w:hanging="1080"/>
      </w:pPr>
      <w:rPr/>
    </w:lvl>
    <w:lvl w:ilvl="5">
      <w:start w:val="1"/>
      <w:numFmt w:val="decimal"/>
      <w:lvlText w:val="%1.%2.%3.%4.%5.%6"/>
      <w:lvlJc w:val="left"/>
      <w:pPr>
        <w:tabs>
          <w:tab w:val="num" w:pos="0"/>
        </w:tabs>
        <w:ind w:left="1647" w:hanging="1080"/>
      </w:pPr>
      <w:rPr/>
    </w:lvl>
    <w:lvl w:ilvl="6">
      <w:start w:val="1"/>
      <w:numFmt w:val="decimal"/>
      <w:lvlText w:val="%1.%2.%3.%4.%5.%6.%7"/>
      <w:lvlJc w:val="left"/>
      <w:pPr>
        <w:tabs>
          <w:tab w:val="num" w:pos="0"/>
        </w:tabs>
        <w:ind w:left="2007" w:hanging="1440"/>
      </w:pPr>
      <w:rPr/>
    </w:lvl>
    <w:lvl w:ilvl="7">
      <w:start w:val="1"/>
      <w:numFmt w:val="decimal"/>
      <w:lvlText w:val="%1.%2.%3.%4.%5.%6.%7.%8"/>
      <w:lvlJc w:val="left"/>
      <w:pPr>
        <w:tabs>
          <w:tab w:val="num" w:pos="0"/>
        </w:tabs>
        <w:ind w:left="2007" w:hanging="1440"/>
      </w:pPr>
      <w:rPr/>
    </w:lvl>
    <w:lvl w:ilvl="8">
      <w:start w:val="1"/>
      <w:numFmt w:val="decimal"/>
      <w:lvlText w:val="%1.%2.%3.%4.%5.%6.%7.%8.%9"/>
      <w:lvlJc w:val="left"/>
      <w:pPr>
        <w:tabs>
          <w:tab w:val="num" w:pos="0"/>
        </w:tabs>
        <w:ind w:left="2367" w:hanging="1800"/>
      </w:pPr>
      <w:rPr/>
    </w:lvl>
  </w:abstractNum>
  <w:abstractNum w:abstractNumId="7">
    <w:lvl w:ilvl="0">
      <w:start w:val="4"/>
      <w:numFmt w:val="decimal"/>
      <w:lvlText w:val="%1"/>
      <w:lvlJc w:val="left"/>
      <w:pPr>
        <w:tabs>
          <w:tab w:val="num" w:pos="0"/>
        </w:tabs>
        <w:ind w:left="360"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2574" w:hanging="720"/>
      </w:pPr>
      <w:rPr/>
    </w:lvl>
    <w:lvl w:ilvl="3">
      <w:start w:val="1"/>
      <w:numFmt w:val="decimal"/>
      <w:lvlText w:val="%1.%2.%3.%4"/>
      <w:lvlJc w:val="left"/>
      <w:pPr>
        <w:tabs>
          <w:tab w:val="num" w:pos="0"/>
        </w:tabs>
        <w:ind w:left="3501" w:hanging="720"/>
      </w:pPr>
      <w:rPr/>
    </w:lvl>
    <w:lvl w:ilvl="4">
      <w:start w:val="1"/>
      <w:numFmt w:val="decimal"/>
      <w:lvlText w:val="%1.%2.%3.%4.%5"/>
      <w:lvlJc w:val="left"/>
      <w:pPr>
        <w:tabs>
          <w:tab w:val="num" w:pos="0"/>
        </w:tabs>
        <w:ind w:left="4788" w:hanging="1080"/>
      </w:pPr>
      <w:rPr/>
    </w:lvl>
    <w:lvl w:ilvl="5">
      <w:start w:val="1"/>
      <w:numFmt w:val="decimal"/>
      <w:lvlText w:val="%1.%2.%3.%4.%5.%6"/>
      <w:lvlJc w:val="left"/>
      <w:pPr>
        <w:tabs>
          <w:tab w:val="num" w:pos="0"/>
        </w:tabs>
        <w:ind w:left="5715" w:hanging="1080"/>
      </w:pPr>
      <w:rPr/>
    </w:lvl>
    <w:lvl w:ilvl="6">
      <w:start w:val="1"/>
      <w:numFmt w:val="decimal"/>
      <w:lvlText w:val="%1.%2.%3.%4.%5.%6.%7"/>
      <w:lvlJc w:val="left"/>
      <w:pPr>
        <w:tabs>
          <w:tab w:val="num" w:pos="0"/>
        </w:tabs>
        <w:ind w:left="7002" w:hanging="1440"/>
      </w:pPr>
      <w:rPr/>
    </w:lvl>
    <w:lvl w:ilvl="7">
      <w:start w:val="1"/>
      <w:numFmt w:val="decimal"/>
      <w:lvlText w:val="%1.%2.%3.%4.%5.%6.%7.%8"/>
      <w:lvlJc w:val="left"/>
      <w:pPr>
        <w:tabs>
          <w:tab w:val="num" w:pos="0"/>
        </w:tabs>
        <w:ind w:left="7929" w:hanging="1440"/>
      </w:pPr>
      <w:rPr/>
    </w:lvl>
    <w:lvl w:ilvl="8">
      <w:start w:val="1"/>
      <w:numFmt w:val="decimal"/>
      <w:lvlText w:val="%1.%2.%3.%4.%5.%6.%7.%8.%9"/>
      <w:lvlJc w:val="left"/>
      <w:pPr>
        <w:tabs>
          <w:tab w:val="num" w:pos="0"/>
        </w:tabs>
        <w:ind w:left="8856" w:hanging="1440"/>
      </w:pPr>
      <w:rPr/>
    </w:lvl>
  </w:abstractNum>
  <w:abstractNum w:abstractNumId="8">
    <w:lvl w:ilvl="0">
      <w:start w:val="4"/>
      <w:numFmt w:val="decimal"/>
      <w:lvlText w:val="%1"/>
      <w:lvlJc w:val="left"/>
      <w:pPr>
        <w:tabs>
          <w:tab w:val="num" w:pos="0"/>
        </w:tabs>
        <w:ind w:left="360" w:hanging="360"/>
      </w:pPr>
      <w:rPr/>
    </w:lvl>
    <w:lvl w:ilvl="1">
      <w:start w:val="6"/>
      <w:numFmt w:val="decimal"/>
      <w:lvlText w:val="%1.%2"/>
      <w:lvlJc w:val="left"/>
      <w:pPr>
        <w:tabs>
          <w:tab w:val="num" w:pos="0"/>
        </w:tabs>
        <w:ind w:left="1571" w:hanging="360"/>
      </w:pPr>
      <w:rPr/>
    </w:lvl>
    <w:lvl w:ilvl="2">
      <w:start w:val="1"/>
      <w:numFmt w:val="decimal"/>
      <w:lvlText w:val="%1.%2.%3"/>
      <w:lvlJc w:val="left"/>
      <w:pPr>
        <w:tabs>
          <w:tab w:val="num" w:pos="0"/>
        </w:tabs>
        <w:ind w:left="3142" w:hanging="720"/>
      </w:pPr>
      <w:rPr/>
    </w:lvl>
    <w:lvl w:ilvl="3">
      <w:start w:val="1"/>
      <w:numFmt w:val="decimal"/>
      <w:lvlText w:val="%1.%2.%3.%4"/>
      <w:lvlJc w:val="left"/>
      <w:pPr>
        <w:tabs>
          <w:tab w:val="num" w:pos="0"/>
        </w:tabs>
        <w:ind w:left="4353" w:hanging="720"/>
      </w:pPr>
      <w:rPr/>
    </w:lvl>
    <w:lvl w:ilvl="4">
      <w:start w:val="1"/>
      <w:numFmt w:val="decimal"/>
      <w:lvlText w:val="%1.%2.%3.%4.%5"/>
      <w:lvlJc w:val="left"/>
      <w:pPr>
        <w:tabs>
          <w:tab w:val="num" w:pos="0"/>
        </w:tabs>
        <w:ind w:left="5924" w:hanging="1080"/>
      </w:pPr>
      <w:rPr/>
    </w:lvl>
    <w:lvl w:ilvl="5">
      <w:start w:val="1"/>
      <w:numFmt w:val="decimal"/>
      <w:lvlText w:val="%1.%2.%3.%4.%5.%6"/>
      <w:lvlJc w:val="left"/>
      <w:pPr>
        <w:tabs>
          <w:tab w:val="num" w:pos="0"/>
        </w:tabs>
        <w:ind w:left="7135" w:hanging="1080"/>
      </w:pPr>
      <w:rPr/>
    </w:lvl>
    <w:lvl w:ilvl="6">
      <w:start w:val="1"/>
      <w:numFmt w:val="decimal"/>
      <w:lvlText w:val="%1.%2.%3.%4.%5.%6.%7"/>
      <w:lvlJc w:val="left"/>
      <w:pPr>
        <w:tabs>
          <w:tab w:val="num" w:pos="0"/>
        </w:tabs>
        <w:ind w:left="8706" w:hanging="1440"/>
      </w:pPr>
      <w:rPr/>
    </w:lvl>
    <w:lvl w:ilvl="7">
      <w:start w:val="1"/>
      <w:numFmt w:val="decimal"/>
      <w:lvlText w:val="%1.%2.%3.%4.%5.%6.%7.%8"/>
      <w:lvlJc w:val="left"/>
      <w:pPr>
        <w:tabs>
          <w:tab w:val="num" w:pos="0"/>
        </w:tabs>
        <w:ind w:left="9917" w:hanging="1440"/>
      </w:pPr>
      <w:rPr/>
    </w:lvl>
    <w:lvl w:ilvl="8">
      <w:start w:val="1"/>
      <w:numFmt w:val="decimal"/>
      <w:lvlText w:val="%1.%2.%3.%4.%5.%6.%7.%8.%9"/>
      <w:lvlJc w:val="left"/>
      <w:pPr>
        <w:tabs>
          <w:tab w:val="num" w:pos="0"/>
        </w:tabs>
        <w:ind w:left="11128" w:hanging="1440"/>
      </w:pPr>
      <w:rPr/>
    </w:lvl>
  </w:abstractNum>
  <w:abstractNum w:abstractNumId="9">
    <w:lvl w:ilvl="0">
      <w:start w:val="4"/>
      <w:numFmt w:val="decimal"/>
      <w:lvlText w:val="%1."/>
      <w:lvlJc w:val="left"/>
      <w:pPr>
        <w:tabs>
          <w:tab w:val="num" w:pos="0"/>
        </w:tabs>
        <w:ind w:left="504" w:hanging="504"/>
      </w:pPr>
      <w:rPr/>
    </w:lvl>
    <w:lvl w:ilvl="1">
      <w:start w:val="7"/>
      <w:numFmt w:val="decimal"/>
      <w:lvlText w:val="%1.%2."/>
      <w:lvlJc w:val="left"/>
      <w:pPr>
        <w:tabs>
          <w:tab w:val="num" w:pos="0"/>
        </w:tabs>
        <w:ind w:left="783" w:hanging="504"/>
      </w:pPr>
      <w:rPr/>
    </w:lvl>
    <w:lvl w:ilvl="2">
      <w:start w:val="5"/>
      <w:numFmt w:val="decimal"/>
      <w:lvlText w:val="%1.%2.%3."/>
      <w:lvlJc w:val="left"/>
      <w:pPr>
        <w:tabs>
          <w:tab w:val="num" w:pos="0"/>
        </w:tabs>
        <w:ind w:left="1278" w:hanging="720"/>
      </w:pPr>
      <w:rPr/>
    </w:lvl>
    <w:lvl w:ilvl="3">
      <w:start w:val="1"/>
      <w:numFmt w:val="decimal"/>
      <w:lvlText w:val="%1.%2.%3.%4."/>
      <w:lvlJc w:val="left"/>
      <w:pPr>
        <w:tabs>
          <w:tab w:val="num" w:pos="0"/>
        </w:tabs>
        <w:ind w:left="1557" w:hanging="720"/>
      </w:pPr>
      <w:rPr/>
    </w:lvl>
    <w:lvl w:ilvl="4">
      <w:start w:val="1"/>
      <w:numFmt w:val="decimal"/>
      <w:lvlText w:val="%1.%2.%3.%4.%5."/>
      <w:lvlJc w:val="left"/>
      <w:pPr>
        <w:tabs>
          <w:tab w:val="num" w:pos="0"/>
        </w:tabs>
        <w:ind w:left="2196" w:hanging="1080"/>
      </w:pPr>
      <w:rPr/>
    </w:lvl>
    <w:lvl w:ilvl="5">
      <w:start w:val="1"/>
      <w:numFmt w:val="decimal"/>
      <w:lvlText w:val="%1.%2.%3.%4.%5.%6."/>
      <w:lvlJc w:val="left"/>
      <w:pPr>
        <w:tabs>
          <w:tab w:val="num" w:pos="0"/>
        </w:tabs>
        <w:ind w:left="2475" w:hanging="1080"/>
      </w:pPr>
      <w:rPr/>
    </w:lvl>
    <w:lvl w:ilvl="6">
      <w:start w:val="1"/>
      <w:numFmt w:val="decimal"/>
      <w:lvlText w:val="%1.%2.%3.%4.%5.%6.%7."/>
      <w:lvlJc w:val="left"/>
      <w:pPr>
        <w:tabs>
          <w:tab w:val="num" w:pos="0"/>
        </w:tabs>
        <w:ind w:left="3114" w:hanging="1440"/>
      </w:pPr>
      <w:rPr/>
    </w:lvl>
    <w:lvl w:ilvl="7">
      <w:start w:val="1"/>
      <w:numFmt w:val="decimal"/>
      <w:lvlText w:val="%1.%2.%3.%4.%5.%6.%7.%8."/>
      <w:lvlJc w:val="left"/>
      <w:pPr>
        <w:tabs>
          <w:tab w:val="num" w:pos="0"/>
        </w:tabs>
        <w:ind w:left="3393" w:hanging="1440"/>
      </w:pPr>
      <w:rPr/>
    </w:lvl>
    <w:lvl w:ilvl="8">
      <w:start w:val="1"/>
      <w:numFmt w:val="decimal"/>
      <w:lvlText w:val="%1.%2.%3.%4.%5.%6.%7.%8.%9."/>
      <w:lvlJc w:val="left"/>
      <w:pPr>
        <w:tabs>
          <w:tab w:val="num" w:pos="0"/>
        </w:tabs>
        <w:ind w:left="4032" w:hanging="180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5ecb"/>
    <w:pPr>
      <w:widowControl/>
      <w:bidi w:val="0"/>
      <w:spacing w:lineRule="auto" w:line="259" w:before="0" w:after="160"/>
      <w:jc w:val="left"/>
    </w:pPr>
    <w:rPr>
      <w:rFonts w:ascii="Calibri" w:hAnsi="Calibri" w:eastAsia="Calibri" w:cs=""/>
      <w:color w:val="auto"/>
      <w:kern w:val="0"/>
      <w:sz w:val="22"/>
      <w:szCs w:val="22"/>
      <w:lang w:val="ru-RU" w:eastAsia="en-US" w:bidi="ar-SA"/>
      <w14:ligatures w14:val="none"/>
    </w:rPr>
  </w:style>
  <w:style w:type="paragraph" w:styleId="1">
    <w:name w:val="Heading 1"/>
    <w:basedOn w:val="Normal"/>
    <w:next w:val="Normal"/>
    <w:link w:val="11"/>
    <w:qFormat/>
    <w:rsid w:val="00125ecb"/>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125ecb"/>
    <w:rPr>
      <w:rFonts w:ascii="Calibri Light" w:hAnsi="Calibri Light" w:eastAsia="" w:cs="" w:asciiTheme="majorHAnsi" w:cstheme="majorBidi" w:eastAsiaTheme="majorEastAsia" w:hAnsiTheme="majorHAnsi"/>
      <w:color w:val="2F5496" w:themeColor="accent1" w:themeShade="bf"/>
      <w:kern w:val="0"/>
      <w:sz w:val="32"/>
      <w:szCs w:val="32"/>
      <w14:ligatures w14:val="none"/>
    </w:rPr>
  </w:style>
  <w:style w:type="character" w:styleId="Style13" w:customStyle="1">
    <w:name w:val="Основной текст_"/>
    <w:basedOn w:val="DefaultParagraphFont"/>
    <w:link w:val="13"/>
    <w:qFormat/>
    <w:rsid w:val="00125ecb"/>
    <w:rPr>
      <w:rFonts w:ascii="Arial" w:hAnsi="Arial" w:eastAsia="Arial" w:cs="Arial"/>
      <w:i/>
      <w:iCs/>
      <w:sz w:val="20"/>
      <w:szCs w:val="20"/>
    </w:rPr>
  </w:style>
  <w:style w:type="character" w:styleId="Style14" w:customStyle="1">
    <w:name w:val="Нижний колонтитул Знак"/>
    <w:basedOn w:val="DefaultParagraphFont"/>
    <w:uiPriority w:val="99"/>
    <w:qFormat/>
    <w:rsid w:val="00125ecb"/>
    <w:rPr>
      <w:kern w:val="0"/>
      <w:sz w:val="22"/>
      <w:szCs w:val="22"/>
      <w14:ligatures w14:val="none"/>
    </w:rPr>
  </w:style>
  <w:style w:type="character" w:styleId="12" w:customStyle="1">
    <w:name w:val="Основной текст Знак1"/>
    <w:basedOn w:val="DefaultParagraphFont"/>
    <w:uiPriority w:val="99"/>
    <w:qFormat/>
    <w:rsid w:val="00125ecb"/>
    <w:rPr>
      <w:rFonts w:ascii="Arial" w:hAnsi="Arial" w:cs="Arial"/>
      <w:sz w:val="19"/>
      <w:szCs w:val="19"/>
      <w:shd w:fill="FFFFFF" w:val="clear"/>
    </w:rPr>
  </w:style>
  <w:style w:type="character" w:styleId="Style15" w:customStyle="1">
    <w:name w:val="Основной текст Знак"/>
    <w:basedOn w:val="DefaultParagraphFont"/>
    <w:uiPriority w:val="99"/>
    <w:semiHidden/>
    <w:qFormat/>
    <w:rsid w:val="00125ecb"/>
    <w:rPr>
      <w:kern w:val="0"/>
      <w:sz w:val="22"/>
      <w:szCs w:val="22"/>
      <w14:ligatures w14:val="none"/>
    </w:rPr>
  </w:style>
  <w:style w:type="character" w:styleId="Style16">
    <w:name w:val="Hyperlink"/>
    <w:uiPriority w:val="99"/>
    <w:unhideWhenUsed/>
    <w:rsid w:val="00125ecb"/>
    <w:rPr>
      <w:color w:val="0000FF"/>
      <w:u w:val="single"/>
    </w:rPr>
  </w:style>
  <w:style w:type="character" w:styleId="2" w:customStyle="1">
    <w:name w:val="Основной текст (2)_"/>
    <w:basedOn w:val="DefaultParagraphFont"/>
    <w:link w:val="22"/>
    <w:uiPriority w:val="99"/>
    <w:qFormat/>
    <w:rsid w:val="00125ecb"/>
    <w:rPr>
      <w:rFonts w:ascii="Arial" w:hAnsi="Arial" w:cs="Arial"/>
      <w:sz w:val="16"/>
      <w:szCs w:val="16"/>
      <w:shd w:fill="FFFFFF" w:val="clear"/>
    </w:rPr>
  </w:style>
  <w:style w:type="character" w:styleId="3" w:customStyle="1">
    <w:name w:val="Заголовок №3_"/>
    <w:basedOn w:val="DefaultParagraphFont"/>
    <w:link w:val="31"/>
    <w:uiPriority w:val="99"/>
    <w:qFormat/>
    <w:rsid w:val="00125ecb"/>
    <w:rPr>
      <w:rFonts w:ascii="Arial" w:hAnsi="Arial" w:eastAsia="Times New Roman" w:cs="Arial"/>
      <w:b/>
      <w:bCs/>
      <w:kern w:val="0"/>
      <w:lang w:eastAsia="ru-RU"/>
      <w14:ligatures w14:val="none"/>
    </w:rPr>
  </w:style>
  <w:style w:type="character" w:styleId="Pagenumber">
    <w:name w:val="page number"/>
    <w:basedOn w:val="DefaultParagraphFont"/>
    <w:uiPriority w:val="99"/>
    <w:semiHidden/>
    <w:unhideWhenUsed/>
    <w:qFormat/>
    <w:rsid w:val="00125ecb"/>
    <w:rPr/>
  </w:style>
  <w:style w:type="character" w:styleId="Style17" w:customStyle="1">
    <w:name w:val="Другое_"/>
    <w:basedOn w:val="DefaultParagraphFont"/>
    <w:link w:val="Style27"/>
    <w:qFormat/>
    <w:rsid w:val="00125ecb"/>
    <w:rPr>
      <w:rFonts w:ascii="Arial" w:hAnsi="Arial" w:eastAsia="Arial" w:cs="Arial"/>
      <w:sz w:val="17"/>
      <w:szCs w:val="17"/>
    </w:rPr>
  </w:style>
  <w:style w:type="character" w:styleId="21" w:customStyle="1">
    <w:name w:val="Колонтитул (2)_"/>
    <w:basedOn w:val="DefaultParagraphFont"/>
    <w:link w:val="23"/>
    <w:qFormat/>
    <w:rsid w:val="00125ecb"/>
    <w:rPr>
      <w:rFonts w:ascii="Times New Roman" w:hAnsi="Times New Roman" w:eastAsia="Times New Roman" w:cs="Times New Roman"/>
      <w:sz w:val="20"/>
      <w:szCs w:val="20"/>
    </w:rPr>
  </w:style>
  <w:style w:type="character" w:styleId="Style18" w:customStyle="1">
    <w:name w:val="Верхний колонтитул Знак"/>
    <w:basedOn w:val="DefaultParagraphFont"/>
    <w:uiPriority w:val="99"/>
    <w:qFormat/>
    <w:rsid w:val="00125ecb"/>
    <w:rPr>
      <w:kern w:val="0"/>
      <w:sz w:val="22"/>
      <w:szCs w:val="22"/>
      <w14:ligatures w14:val="none"/>
    </w:rPr>
  </w:style>
  <w:style w:type="character" w:styleId="4" w:customStyle="1">
    <w:name w:val="Основной текст (4)_"/>
    <w:basedOn w:val="DefaultParagraphFont"/>
    <w:link w:val="41"/>
    <w:qFormat/>
    <w:rsid w:val="0068251f"/>
    <w:rPr>
      <w:rFonts w:ascii="Arial" w:hAnsi="Arial" w:eastAsia="Arial" w:cs="Arial"/>
      <w:b/>
      <w:bCs/>
      <w:sz w:val="38"/>
      <w:szCs w:val="38"/>
    </w:rPr>
  </w:style>
  <w:style w:type="character" w:styleId="Style19" w:customStyle="1">
    <w:name w:val="Подпись к картинке_"/>
    <w:basedOn w:val="DefaultParagraphFont"/>
    <w:link w:val="Style29"/>
    <w:qFormat/>
    <w:rsid w:val="00690972"/>
    <w:rPr>
      <w:rFonts w:ascii="Arial" w:hAnsi="Arial" w:eastAsia="Arial" w:cs="Arial"/>
      <w:sz w:val="14"/>
      <w:szCs w:val="14"/>
    </w:rPr>
  </w:style>
  <w:style w:type="paragraph" w:styleId="Style20">
    <w:name w:val="Заголовок"/>
    <w:basedOn w:val="Normal"/>
    <w:next w:val="Style21"/>
    <w:qFormat/>
    <w:pPr>
      <w:keepNext w:val="true"/>
      <w:spacing w:before="240" w:after="120"/>
    </w:pPr>
    <w:rPr>
      <w:rFonts w:ascii="Liberation Sans" w:hAnsi="Liberation Sans" w:eastAsia="DejaVu Sans" w:cs="DejaVu Sans"/>
      <w:sz w:val="28"/>
      <w:szCs w:val="28"/>
    </w:rPr>
  </w:style>
  <w:style w:type="paragraph" w:styleId="Style21">
    <w:name w:val="Body Text"/>
    <w:basedOn w:val="Normal"/>
    <w:link w:val="12"/>
    <w:uiPriority w:val="99"/>
    <w:rsid w:val="00125ecb"/>
    <w:pPr>
      <w:widowControl w:val="false"/>
      <w:shd w:val="clear" w:color="auto" w:fill="FFFFFF"/>
      <w:spacing w:lineRule="auto" w:line="264" w:before="0" w:after="0"/>
      <w:ind w:firstLine="400"/>
    </w:pPr>
    <w:rPr>
      <w:rFonts w:ascii="Arial" w:hAnsi="Arial" w:cs="Arial"/>
      <w:kern w:val="2"/>
      <w:sz w:val="19"/>
      <w:szCs w:val="19"/>
      <w14:ligatures w14:val="standardContextual"/>
    </w:rPr>
  </w:style>
  <w:style w:type="paragraph" w:styleId="Style22">
    <w:name w:val="List"/>
    <w:basedOn w:val="Style21"/>
    <w:pPr/>
    <w:rPr/>
  </w:style>
  <w:style w:type="paragraph" w:styleId="Style23">
    <w:name w:val="Caption"/>
    <w:basedOn w:val="Normal"/>
    <w:qFormat/>
    <w:pPr>
      <w:suppressLineNumbers/>
      <w:spacing w:before="120" w:after="120"/>
    </w:pPr>
    <w:rPr>
      <w:i/>
      <w:iCs/>
      <w:sz w:val="24"/>
      <w:szCs w:val="24"/>
    </w:rPr>
  </w:style>
  <w:style w:type="paragraph" w:styleId="Style24">
    <w:name w:val="Указатель"/>
    <w:basedOn w:val="Normal"/>
    <w:qFormat/>
    <w:pPr>
      <w:suppressLineNumbers/>
    </w:pPr>
    <w:rPr/>
  </w:style>
  <w:style w:type="paragraph" w:styleId="13" w:customStyle="1">
    <w:name w:val="Основной текст1"/>
    <w:basedOn w:val="Normal"/>
    <w:link w:val="Style13"/>
    <w:qFormat/>
    <w:rsid w:val="00125ecb"/>
    <w:pPr>
      <w:widowControl w:val="false"/>
      <w:spacing w:lineRule="auto" w:line="276" w:before="0" w:after="0"/>
      <w:ind w:firstLine="400"/>
    </w:pPr>
    <w:rPr>
      <w:rFonts w:ascii="Arial" w:hAnsi="Arial" w:eastAsia="Arial" w:cs="Arial"/>
      <w:i/>
      <w:iCs/>
      <w:kern w:val="2"/>
      <w:sz w:val="20"/>
      <w:szCs w:val="20"/>
      <w14:ligatures w14:val="standardContextual"/>
    </w:rPr>
  </w:style>
  <w:style w:type="paragraph" w:styleId="Style25">
    <w:name w:val="Колонтитул"/>
    <w:basedOn w:val="Normal"/>
    <w:qFormat/>
    <w:pPr/>
    <w:rPr/>
  </w:style>
  <w:style w:type="paragraph" w:styleId="Style26">
    <w:name w:val="Footer"/>
    <w:basedOn w:val="Normal"/>
    <w:link w:val="Style14"/>
    <w:uiPriority w:val="99"/>
    <w:unhideWhenUsed/>
    <w:rsid w:val="00125ecb"/>
    <w:pPr>
      <w:tabs>
        <w:tab w:val="clear" w:pos="708"/>
        <w:tab w:val="center" w:pos="4677" w:leader="none"/>
        <w:tab w:val="right" w:pos="9355" w:leader="none"/>
      </w:tabs>
      <w:spacing w:lineRule="auto" w:line="240" w:before="0" w:after="0"/>
    </w:pPr>
    <w:rPr/>
  </w:style>
  <w:style w:type="paragraph" w:styleId="14">
    <w:name w:val="TOC 1"/>
    <w:basedOn w:val="Normal"/>
    <w:next w:val="Normal"/>
    <w:autoRedefine/>
    <w:uiPriority w:val="39"/>
    <w:unhideWhenUsed/>
    <w:rsid w:val="00125ecb"/>
    <w:pPr>
      <w:widowControl w:val="false"/>
      <w:tabs>
        <w:tab w:val="clear" w:pos="708"/>
        <w:tab w:val="left" w:pos="660" w:leader="none"/>
        <w:tab w:val="right" w:pos="9345" w:leader="dot"/>
      </w:tabs>
      <w:spacing w:lineRule="auto" w:line="276" w:before="0" w:after="100"/>
      <w:ind w:firstLine="567"/>
    </w:pPr>
    <w:rPr>
      <w:rFonts w:ascii="Arial" w:hAnsi="Arial" w:eastAsia="Arial" w:cs="Arial"/>
      <w:b/>
      <w:bCs/>
      <w:spacing w:val="-1"/>
      <w:lang w:val="en-US"/>
    </w:rPr>
  </w:style>
  <w:style w:type="paragraph" w:styleId="22" w:customStyle="1">
    <w:name w:val="Основной текст (2)"/>
    <w:basedOn w:val="Normal"/>
    <w:link w:val="2"/>
    <w:uiPriority w:val="99"/>
    <w:qFormat/>
    <w:rsid w:val="00125ecb"/>
    <w:pPr>
      <w:widowControl w:val="false"/>
      <w:shd w:val="clear" w:color="auto" w:fill="FFFFFF"/>
      <w:spacing w:lineRule="auto" w:line="285" w:before="0" w:after="100"/>
      <w:ind w:firstLine="540"/>
    </w:pPr>
    <w:rPr>
      <w:rFonts w:ascii="Arial" w:hAnsi="Arial" w:cs="Arial"/>
      <w:kern w:val="2"/>
      <w:sz w:val="16"/>
      <w:szCs w:val="16"/>
      <w14:ligatures w14:val="standardContextual"/>
    </w:rPr>
  </w:style>
  <w:style w:type="paragraph" w:styleId="31" w:customStyle="1">
    <w:name w:val="Заголовок №3"/>
    <w:basedOn w:val="Normal"/>
    <w:link w:val="3"/>
    <w:uiPriority w:val="99"/>
    <w:qFormat/>
    <w:rsid w:val="00125ecb"/>
    <w:pPr>
      <w:widowControl w:val="false"/>
      <w:spacing w:lineRule="auto" w:line="240" w:before="0" w:after="200"/>
      <w:ind w:firstLine="520"/>
      <w:outlineLvl w:val="2"/>
    </w:pPr>
    <w:rPr>
      <w:rFonts w:ascii="Arial" w:hAnsi="Arial" w:eastAsia="Times New Roman" w:cs="Arial"/>
      <w:b/>
      <w:bCs/>
      <w:sz w:val="24"/>
      <w:szCs w:val="24"/>
      <w:lang w:eastAsia="ru-RU"/>
    </w:rPr>
  </w:style>
  <w:style w:type="paragraph" w:styleId="32">
    <w:name w:val="TOC 3"/>
    <w:basedOn w:val="Normal"/>
    <w:next w:val="Normal"/>
    <w:autoRedefine/>
    <w:uiPriority w:val="39"/>
    <w:unhideWhenUsed/>
    <w:rsid w:val="00125ecb"/>
    <w:pPr>
      <w:tabs>
        <w:tab w:val="clear" w:pos="708"/>
        <w:tab w:val="left" w:pos="880" w:leader="none"/>
        <w:tab w:val="right" w:pos="9345" w:leader="dot"/>
      </w:tabs>
      <w:spacing w:before="0" w:after="100"/>
      <w:ind w:left="440" w:hanging="298"/>
    </w:pPr>
    <w:rPr/>
  </w:style>
  <w:style w:type="paragraph" w:styleId="Style27" w:customStyle="1">
    <w:name w:val="Другое"/>
    <w:basedOn w:val="Normal"/>
    <w:link w:val="Style17"/>
    <w:qFormat/>
    <w:rsid w:val="00125ecb"/>
    <w:pPr>
      <w:widowControl w:val="false"/>
      <w:spacing w:lineRule="auto" w:line="256" w:before="0" w:after="0"/>
      <w:ind w:firstLine="400"/>
    </w:pPr>
    <w:rPr>
      <w:rFonts w:ascii="Arial" w:hAnsi="Arial" w:eastAsia="Arial" w:cs="Arial"/>
      <w:kern w:val="2"/>
      <w:sz w:val="17"/>
      <w:szCs w:val="17"/>
      <w14:ligatures w14:val="standardContextual"/>
    </w:rPr>
  </w:style>
  <w:style w:type="paragraph" w:styleId="ListParagraph">
    <w:name w:val="List Paragraph"/>
    <w:basedOn w:val="Normal"/>
    <w:uiPriority w:val="34"/>
    <w:qFormat/>
    <w:rsid w:val="00125ecb"/>
    <w:pPr>
      <w:spacing w:before="0" w:after="160"/>
      <w:ind w:left="720" w:hanging="0"/>
      <w:contextualSpacing/>
    </w:pPr>
    <w:rPr/>
  </w:style>
  <w:style w:type="paragraph" w:styleId="23" w:customStyle="1">
    <w:name w:val="Колонтитул (2)"/>
    <w:basedOn w:val="Normal"/>
    <w:link w:val="21"/>
    <w:qFormat/>
    <w:rsid w:val="00125ecb"/>
    <w:pPr>
      <w:widowControl w:val="false"/>
      <w:spacing w:lineRule="auto" w:line="240" w:before="0" w:after="0"/>
    </w:pPr>
    <w:rPr>
      <w:rFonts w:ascii="Times New Roman" w:hAnsi="Times New Roman" w:eastAsia="Times New Roman" w:cs="Times New Roman"/>
      <w:kern w:val="2"/>
      <w:sz w:val="20"/>
      <w:szCs w:val="20"/>
      <w14:ligatures w14:val="standardContextual"/>
    </w:rPr>
  </w:style>
  <w:style w:type="paragraph" w:styleId="Style28">
    <w:name w:val="Header"/>
    <w:basedOn w:val="Normal"/>
    <w:link w:val="Style18"/>
    <w:uiPriority w:val="99"/>
    <w:unhideWhenUsed/>
    <w:rsid w:val="00125ecb"/>
    <w:pPr>
      <w:tabs>
        <w:tab w:val="clear" w:pos="708"/>
        <w:tab w:val="center" w:pos="4677" w:leader="none"/>
        <w:tab w:val="right" w:pos="9355" w:leader="none"/>
      </w:tabs>
      <w:spacing w:lineRule="auto" w:line="240" w:before="0" w:after="0"/>
    </w:pPr>
    <w:rPr/>
  </w:style>
  <w:style w:type="paragraph" w:styleId="41" w:customStyle="1">
    <w:name w:val="Основной текст (4)"/>
    <w:basedOn w:val="Normal"/>
    <w:link w:val="4"/>
    <w:qFormat/>
    <w:rsid w:val="0068251f"/>
    <w:pPr>
      <w:widowControl w:val="false"/>
      <w:spacing w:lineRule="auto" w:line="276" w:before="0" w:after="0"/>
    </w:pPr>
    <w:rPr>
      <w:rFonts w:ascii="Arial" w:hAnsi="Arial" w:eastAsia="Arial" w:cs="Arial"/>
      <w:b/>
      <w:bCs/>
      <w:kern w:val="2"/>
      <w:sz w:val="38"/>
      <w:szCs w:val="38"/>
      <w14:ligatures w14:val="standardContextual"/>
    </w:rPr>
  </w:style>
  <w:style w:type="paragraph" w:styleId="Style29" w:customStyle="1">
    <w:name w:val="Подпись к картинке"/>
    <w:basedOn w:val="Normal"/>
    <w:link w:val="Style19"/>
    <w:qFormat/>
    <w:rsid w:val="00690972"/>
    <w:pPr>
      <w:widowControl w:val="false"/>
      <w:spacing w:lineRule="auto" w:line="240" w:before="0" w:after="0"/>
    </w:pPr>
    <w:rPr>
      <w:rFonts w:ascii="Arial" w:hAnsi="Arial" w:eastAsia="Arial" w:cs="Arial"/>
      <w:kern w:val="2"/>
      <w:sz w:val="14"/>
      <w:szCs w:val="14"/>
      <w14:ligatures w14:val="standardContextual"/>
    </w:rPr>
  </w:style>
  <w:style w:type="paragraph" w:styleId="Style3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rst.gov.ru/" TargetMode="External"/><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5A20-F49B-0446-B653-59965430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Application>LibreOffice/7.4.7.2$Linux_X86_64 LibreOffice_project/40$Build-2</Application>
  <AppVersion>15.0000</AppVersion>
  <Pages>13</Pages>
  <Words>2798</Words>
  <Characters>19885</Characters>
  <CharactersWithSpaces>23029</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2024-05-28T11:37:00Z</dcterms:created>
  <dc:creator>Microsoft Office User</dc:creator>
  <dc:description/>
  <dc:language>ru-RU</dc:language>
  <cp:lastModifiedBy>Серг Аб</cp:lastModifiedBy>
  <dcterms:modified xsi:type="dcterms:W3CDTF">2024-06-27T13:56:00Z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